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A5B686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附件1：</w:t>
      </w:r>
    </w:p>
    <w:p w14:paraId="3CDC9ECE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川汇区生态文明建设重要举措</w:t>
      </w:r>
    </w:p>
    <w:p w14:paraId="5BE349A6">
      <w:pPr>
        <w:pStyle w:val="2"/>
        <w:rPr>
          <w:rFonts w:hint="eastAsia"/>
          <w:lang w:val="en-US" w:eastAsia="zh-CN"/>
        </w:rPr>
      </w:pPr>
    </w:p>
    <w:p w14:paraId="43867DA1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川汇区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生态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文明建设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工作在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委、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政府的坚强领导和全社会共同关心支持下，深入贯彻习近平生态文明思想，以改善生态环境质量为核心，以解决群众身边突出生态环境问题为重点，统筹推进服务经济高质量发展和生态环境高水平保护，生态环境保护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各项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工作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有序推进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相关工作总结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如下：</w:t>
      </w:r>
    </w:p>
    <w:p w14:paraId="27F7F617">
      <w:pPr>
        <w:keepNext w:val="0"/>
        <w:keepLines w:val="0"/>
        <w:pageBreakBefore w:val="0"/>
        <w:widowControl w:val="0"/>
        <w:numPr>
          <w:ilvl w:val="0"/>
          <w:numId w:val="1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守好生态安全红线</w:t>
      </w:r>
    </w:p>
    <w:p w14:paraId="2D18097C"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以改善生态环境质量为核心，以保障和维护生态功能为主线，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强化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生态保护红线，维护区域生态安全。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进一步夯实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责任、评估和研判工作机制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认真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开展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生态环境领域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风险隐患排查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进一步完善建立起从风险监测、预警到防范和危机管控的详细应急预案及联动措施，抓早抓小、防微杜渐，切实把防范化解风险工作做细做实做深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进一步加强对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风险项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企业执法监管，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从源头化解风险，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督促（重点企业）企业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做好应急预案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今年我区突发生态环境应急事故、生态环境破坏事件为“零”。     </w:t>
      </w:r>
    </w:p>
    <w:p w14:paraId="78254451">
      <w:pPr>
        <w:keepNext w:val="0"/>
        <w:keepLines w:val="0"/>
        <w:pageBreakBefore w:val="0"/>
        <w:widowControl w:val="0"/>
        <w:numPr>
          <w:ilvl w:val="0"/>
          <w:numId w:val="1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大气污染防治工作</w:t>
      </w:r>
    </w:p>
    <w:p w14:paraId="50DF08F7"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提升产业集群绿色化水平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配合市有关部门实施节能降碳增效行动，支持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企业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节能降碳技术示范应用。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深化重点行业超低排放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进一步提升重点行业污染治理水平,推动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重点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行业企业各生产环节大气污染物有组织排放、无组织排放、清洁运输全流程升级改造,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增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建监测监控设施,加强全过程环境管理。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强化绩效分级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进一步规范重点行业绩效分级管理,排查摸底当地重点行业企业治理现状, 分行业分类别建立提升培育企业清单,指导企业开展清洁生产技术改造,推进企业"梯度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升级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". 加强绩效分级企业动态管理,落实A级企业、绩效引领企业的相关激励政策,发挥先进示范引领作用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。四是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巩固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工业企业治理成效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指导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企业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做好污染物深度治理,指导企业做好物料运输、装卸储存及生产过程中的物料上料、转移输送、加工处理、包装等各环节的无组织排放控制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。五是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强化区域联防联控,打好重污染天气消除攻坚战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按照“空气质量好、生产影响小"的要求,完善重污染天气应急减排清单动态更新机制,聚焦重点区域、重点领域、重点时段,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持续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实行"一厂一策"差异化管控,应急减排措施落实到具体生产线、生产环节、生产设施、减排比例,做到可操作、可监测、可核查。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六是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加强重污染天气应急响应期间监管力度，充分运用环境空气质量监测、污染源自动监控、工业用电量、等信息化技术手段,强化数据分析技术应用,深入开展空气质量指标高值区域的污染来源排查分析,实现对停、限产企业减 排措施及效果的实时跟踪、智能分析、动态评估,建立锁定空气质量指标高值区分析定重点、溯源查源头、开方促治理、实施提质量的工作机制。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近年来，我区先后开展了“商砼站、水泥行业提升整治行动”“扬尘治理专项行动”“餐饮油烟治理专项行动”“油气回收提升整治行动”“秸秆禁烧工作”“烟花爆竹管控工作”等，打出一系列“组合拳”，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做到全天候、全方位、全过程、全时段、全覆盖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、分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行业排查提升整治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，确保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各类污染防治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设施稳定运行、污染物达标排放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我区空气质量改善夯实了基础。</w:t>
      </w:r>
    </w:p>
    <w:p w14:paraId="28E84C74">
      <w:pPr>
        <w:pStyle w:val="2"/>
        <w:ind w:firstLine="640" w:firstLineChars="200"/>
        <w:rPr>
          <w:rFonts w:hint="eastAsia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截止目前，2025年春节期间，川汇区为打击非法销售、运输、燃放烟花爆竹人员，共取缔非法储存场所20处，查获非法烟花爆竹6083（箱件鞭），罚款17人次3500元，拘留35人。全力做好了大气污染防控攻坚战。</w:t>
      </w:r>
      <w:bookmarkStart w:id="0" w:name="_GoBack"/>
      <w:bookmarkEnd w:id="0"/>
    </w:p>
    <w:p w14:paraId="5BF4B79F">
      <w:pPr>
        <w:keepNext w:val="0"/>
        <w:keepLines w:val="0"/>
        <w:pageBreakBefore w:val="0"/>
        <w:widowControl w:val="0"/>
        <w:numPr>
          <w:ilvl w:val="0"/>
          <w:numId w:val="1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水污染防治工作</w:t>
      </w:r>
    </w:p>
    <w:p w14:paraId="2B4A8817"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开展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城市水体排查整治。充分发挥河湖长制、断面长制职责，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围绕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辖区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河流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断面、上下游、沿岸定期开展排查行动，重点排查河流两岸对考核断面水质有影响的污染源。并形成长效机制，及时发现问题，及时整改问题。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推动城市排水系统溢流污染控制。积极配合上级部门开展溢流污染控制试点工作，目前孙猴庙溢流污染调蓄池主体工程已完成并投入使用。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推进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补齐污水收集处理设施短板,开展污水管网建设和雨污分流、错接混接改造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案例：“川汇区贾鲁河以西、沙颍河以北、西环路以东的区域，面积近17.5平方公里，自然地形呈四周高、中间低的锅底状，大量雨水和生活污水在周套楼区域汇集，由于该区域污水管网不完善，常常雨污水汇集，在低洼处形成一个个恶水坑，有的民房泡在水里存在极大安全隐患，对群众工作生活造成严重困扰，生态环境分局谋划了雨污管网建设项目，省生态环境厅划拨资金400多万元用于该区域管网改造建设，惠及人口约29800人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持续推进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周口第三污水处理厂建设工作。目前该污水处理厂主体已建设完成，已安装设备，预计12月底调试运行。四是开展企业污水处理设施专项执法检查行动。全面排查涉水企业处理工艺流程及污染防治设施的主要设计参数，检查所有药剂的种类、浓度、投加量和在线数据等运行记录情况等，确保我区工业企业污水处理达标排放。</w:t>
      </w:r>
    </w:p>
    <w:p w14:paraId="0A613053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下一步，我区将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加强水生态保护与修复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协调推进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重点河湖生态环境质量状况调查评估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与治理工作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进一步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健全水体生态系统功能,加强现有湿地的保护和修复,谋划实施一批水源涵养、生态湿地、人工湿地水质净化、河湖水生态保护和修复、生态缓冲带建设、中水回用及水系连通等工程项目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推动美丽河湖建设与保护,以建促治,努力打造一批河畅、湖清、岸绿、景美的河湖环境,实现"清水绿岸、鱼翔浅底、人水和谐”美好愿景。</w:t>
      </w:r>
    </w:p>
    <w:p w14:paraId="2A12FB96">
      <w:pPr>
        <w:keepNext w:val="0"/>
        <w:keepLines w:val="0"/>
        <w:pageBreakBefore w:val="0"/>
        <w:widowControl w:val="0"/>
        <w:numPr>
          <w:ilvl w:val="0"/>
          <w:numId w:val="1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土壤污染防治工作</w:t>
      </w:r>
    </w:p>
    <w:p w14:paraId="6D6E74E6"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推动土壤资源永续利用，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确保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全区土壤和地下水环境质量总体保持稳定,土壤和地下水环境风险得到有效管控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土壤安全利用进一步巩固提升,重点建设用地安全利用有效保障。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防范新增土壤污染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推动土壤污染重点监管单位规范化监管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加强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对企业的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技术帮扶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指导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健全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污染地块准入管理机制,加强重点建设用地联动监管工作,采取“净土收储"“净土供应""净土开发"或“环境修复+开发建设"等模式,严格污染地块用途管制,落实准入管理要求。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四是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推动谋划土壤污染治理项目。</w:t>
      </w:r>
    </w:p>
    <w:p w14:paraId="7758A4B2">
      <w:pPr>
        <w:keepNext w:val="0"/>
        <w:keepLines w:val="0"/>
        <w:pageBreakBefore w:val="0"/>
        <w:widowControl w:val="0"/>
        <w:numPr>
          <w:ilvl w:val="0"/>
          <w:numId w:val="1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农村污染治理工作</w:t>
      </w:r>
    </w:p>
    <w:p w14:paraId="48CC1A10"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一方面，科学推进农村生活污水治理。川汇区坚持因地制宜、分类施策，结合辖区内行政村的人口数量、污水现状及预期规模等情况，按照“低投入、低运维、高效果”的治理原则，制定了纳入管网、分散处理、户排户用、农村粪污综合利用等四类治理模式。目前，川汇区农村生活污水治理率达到56.9%（高于全市2025年底完成治理率39%要求）。另一方面，扎实开展农村黑臭水体整治。按照“控源截污、内源治理、水系连通、生态修复”的基本技术路线，将农村黑臭水体治理与“渔光互补”项目相结合，统筹推进黑臭水体与坑塘周边生活污水、生活垃圾等协同治理工作，从源头控制水体污染；采用抽污、清淤、护坡、绿化等举措，清除了多年积累的污染底泥，构建了生态护坡，在治理水体黑臭问题的同时，达到稳固岸坡、美化环境的效果。2024年度，川汇区的28条农村黑臭水体治理任务均已完成。为进一步夯实我区农村污染治理成果，进一步提升农村人居环境，强化农村黑臭水体治理资金保障，生态环境分局积极谋划了《川汇区农村黑臭水体治理项目实施方案》，争取中央环境专项治理资金2000多万元。该项目9个行政村完成农村黑臭水体治理工作，涉及16条农村重点黑臭水体，总治理面积4.43万m2，受惠人口20785人。</w:t>
      </w:r>
    </w:p>
    <w:p w14:paraId="63C6719A">
      <w:pPr>
        <w:keepNext w:val="0"/>
        <w:keepLines w:val="0"/>
        <w:pageBreakBefore w:val="0"/>
        <w:widowControl w:val="0"/>
        <w:numPr>
          <w:ilvl w:val="0"/>
          <w:numId w:val="1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推进无废城市建设工作</w:t>
      </w:r>
    </w:p>
    <w:p w14:paraId="02B8FF3E"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立足新发展阶段、贯彻新发展理念、构建新发展格局统筹城市发展与固体废物管理，推进固体废物减量化、资源化、无害化，提升城市生态环境保护质量和精细化管理水平。一是全面开展城市生活垃圾分类工作，按照生活垃圾“大分流、小分类”原则，合理布局生活垃圾分类收集投放设施，推升生活垃圾精细化管理。二是深化危废规范管理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全面提升危险废物全过程信息化环境管理水平，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严格落实危废产生、贮存和转移等各个环节安全措施落实情况，严防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危险废物环境风险隐患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。三是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持续推进塑料污染治理工作。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按照“疏堵并举、禁限结合、以禁促省、有序推进”的思路，建立健全塑料制品生产、流通、使用、回收处置等环节管理制度分区域分品种分阶段禁止、限制部分塑料制品销售和使用，推广使用可降解可循环易回收的替代产品，规范塑料废弃物回收利用，有效治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塑料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污染。四是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推进重点行业“无废园区”“无废工厂”建设。大力推进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固废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资源化利用，构建循环利用体系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推动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绿色商场、绿色机关、绿色社区、绿色校园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建设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，融入“无废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城市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”理念，引导绿色生活和消费方式。</w:t>
      </w:r>
    </w:p>
    <w:p w14:paraId="63714FCF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下一步，我区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将以习近平生态文明思想为指引，认真贯彻落实国、省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生态环境保护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工作会议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精神，强化减污降碳、源头治理，全面推进美丽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川汇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建设，重点做好以下工作：</w:t>
      </w:r>
    </w:p>
    <w:p w14:paraId="0687E7E4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深入打好蓝天保卫战，以降低细颗粒物浓度为主线，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深化VOCs、机动车、扬尘、秸秆、餐饮油烟等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污染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治理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强化源头管控，狠抓重污染天气联防联控，进一步增强紧迫感、责任感，推动空气质量提升进位。</w:t>
      </w:r>
    </w:p>
    <w:p w14:paraId="6D4104DC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深入打好碧水保卫战，巩固提升城市黑臭水体治理成效。配合推进开展沙颍河、贾鲁河等重点河流综合治理。推动周口第三污水处理厂投产运行，持续推动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开展污水管网建设和雨污分流、错接混接改造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确保我区省级以上地表水环境质量稳定达标。</w:t>
      </w:r>
    </w:p>
    <w:p w14:paraId="3195A87F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深入打好净土保卫战，防范土壤环境风险，坚决守住建设用地和农用地安全利用底线，加强风险地块监管，推动农村黑臭水体动态销号清零。</w:t>
      </w:r>
    </w:p>
    <w:p w14:paraId="6FD6E2A6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四是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聚焦中央生态环境保护督察反馈问题、生态环境部监督帮扶反馈问题、省委巡视交办问题、人民群众反映的环境问题等，定期开展“回头看”，巩固前期治理成效，并举一反三，组织开展大排查、大整治、大提升行动，确保全区水体环境稳定向好，构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“守好绿水青山、换来金山银山”“绘就绿水青山、创造金山银山”的生态价值转换，不断提升人民群众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美好生态环境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获得感、幸福感。</w:t>
      </w:r>
    </w:p>
    <w:p w14:paraId="184CDC8E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</w:p>
    <w:sectPr>
      <w:footerReference r:id="rId3" w:type="default"/>
      <w:pgSz w:w="11906" w:h="16838"/>
      <w:pgMar w:top="1757" w:right="1474" w:bottom="1587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5ABDC0">
    <w:pPr>
      <w:pStyle w:val="4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weight="1.25pt"/>
          <v:imagedata o:title=""/>
          <o:lock v:ext="edit" aspectratio="f"/>
          <v:textbox inset="0mm,0mm,0mm,0mm" style="mso-fit-shape-to-text:t;">
            <w:txbxContent>
              <w:p w14:paraId="75E5D184">
                <w:pPr>
                  <w:pStyle w:val="4"/>
                </w:pPr>
                <w:r>
                  <w:rPr>
                    <w:rFonts w:hint="eastAsia" w:ascii="仿宋_GB2312" w:hAnsi="仿宋_GB2312" w:eastAsia="仿宋_GB2312" w:cs="仿宋_GB2312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 w:ascii="仿宋_GB2312" w:hAnsi="仿宋_GB2312" w:eastAsia="仿宋_GB2312" w:cs="仿宋_GB2312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 w:ascii="仿宋_GB2312" w:hAnsi="仿宋_GB2312" w:eastAsia="仿宋_GB2312" w:cs="仿宋_GB2312"/>
                    <w:sz w:val="24"/>
                    <w:szCs w:val="24"/>
                  </w:rPr>
                  <w:fldChar w:fldCharType="separate"/>
                </w:r>
                <w:r>
                  <w:rPr>
                    <w:rFonts w:hint="eastAsia" w:ascii="仿宋_GB2312" w:hAnsi="仿宋_GB2312" w:eastAsia="仿宋_GB2312" w:cs="仿宋_GB2312"/>
                    <w:sz w:val="24"/>
                    <w:szCs w:val="24"/>
                  </w:rPr>
                  <w:t>1</w:t>
                </w:r>
                <w:r>
                  <w:rPr>
                    <w:rFonts w:hint="eastAsia" w:ascii="仿宋_GB2312" w:hAnsi="仿宋_GB2312" w:eastAsia="仿宋_GB2312" w:cs="仿宋_GB2312"/>
                    <w:sz w:val="24"/>
                    <w:szCs w:val="24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0654AEE"/>
    <w:multiLevelType w:val="singleLevel"/>
    <w:tmpl w:val="50654AE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005F4DAB"/>
    <w:rsid w:val="036D669E"/>
    <w:rsid w:val="0EA36E13"/>
    <w:rsid w:val="117619C8"/>
    <w:rsid w:val="19DF7204"/>
    <w:rsid w:val="1C443440"/>
    <w:rsid w:val="235A4CA6"/>
    <w:rsid w:val="33830A15"/>
    <w:rsid w:val="3713406E"/>
    <w:rsid w:val="389373BE"/>
    <w:rsid w:val="595C552E"/>
    <w:rsid w:val="5B1025CC"/>
    <w:rsid w:val="5C226519"/>
    <w:rsid w:val="5CF52817"/>
    <w:rsid w:val="664F505D"/>
    <w:rsid w:val="6807697F"/>
    <w:rsid w:val="6C8C708A"/>
    <w:rsid w:val="6DE75B54"/>
    <w:rsid w:val="73B85C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kern w:val="44"/>
      <w:sz w:val="48"/>
      <w:szCs w:val="48"/>
      <w:lang w:val="en-US" w:eastAsia="zh-CN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sz w:val="2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Body Text 2"/>
    <w:basedOn w:val="1"/>
    <w:qFormat/>
    <w:uiPriority w:val="0"/>
    <w:pPr>
      <w:ind w:left="-45" w:leftChars="-45" w:hanging="132" w:hangingChars="45"/>
    </w:pPr>
    <w:rPr>
      <w:rFonts w:ascii="宋体" w:hAnsi="宋体"/>
      <w:szCs w:val="20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8">
    <w:name w:val="Body Text First Indent"/>
    <w:basedOn w:val="2"/>
    <w:qFormat/>
    <w:uiPriority w:val="0"/>
    <w:pPr>
      <w:ind w:firstLine="420" w:firstLineChars="100"/>
    </w:p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character" w:customStyle="1" w:styleId="13">
    <w:name w:val="正文缩进 Char"/>
    <w:qFormat/>
    <w:uiPriority w:val="0"/>
  </w:style>
  <w:style w:type="paragraph" w:customStyle="1" w:styleId="14">
    <w:name w:val="Body Text First Indent2"/>
    <w:basedOn w:val="2"/>
    <w:next w:val="1"/>
    <w:qFormat/>
    <w:uiPriority w:val="0"/>
    <w:pPr>
      <w:ind w:firstLine="100" w:firstLineChars="100"/>
    </w:pPr>
    <w:rPr>
      <w:rFonts w:ascii="宋体" w:hAnsi="宋体" w:eastAsia="宋体" w:cs="宋体"/>
      <w:sz w:val="30"/>
      <w:szCs w:val="30"/>
      <w:lang w:val="zh-CN" w:bidi="zh-CN"/>
    </w:rPr>
  </w:style>
  <w:style w:type="paragraph" w:customStyle="1" w:styleId="15">
    <w:name w:val="Body Text First Indent 2"/>
    <w:basedOn w:val="16"/>
    <w:next w:val="1"/>
    <w:qFormat/>
    <w:uiPriority w:val="0"/>
    <w:pPr>
      <w:ind w:firstLine="420" w:firstLineChars="200"/>
    </w:pPr>
  </w:style>
  <w:style w:type="paragraph" w:customStyle="1" w:styleId="16">
    <w:name w:val="Body Text Indent"/>
    <w:basedOn w:val="1"/>
    <w:next w:val="17"/>
    <w:qFormat/>
    <w:uiPriority w:val="0"/>
    <w:pPr>
      <w:spacing w:after="120"/>
      <w:ind w:left="420" w:leftChars="200"/>
    </w:pPr>
    <w:rPr>
      <w:rFonts w:ascii="Calibri" w:hAnsi="Calibri" w:eastAsia="宋体" w:cs="Times New Roman"/>
    </w:rPr>
  </w:style>
  <w:style w:type="paragraph" w:customStyle="1" w:styleId="17">
    <w:name w:val="Normal Indent"/>
    <w:basedOn w:val="1"/>
    <w:qFormat/>
    <w:uiPriority w:val="0"/>
    <w:pPr>
      <w:ind w:firstLine="420" w:firstLineChars="200"/>
    </w:pPr>
    <w:rPr>
      <w:rFonts w:ascii="Calibri" w:hAnsi="Calibri" w:cs="Times New Roman"/>
    </w:rPr>
  </w:style>
  <w:style w:type="paragraph" w:customStyle="1" w:styleId="18">
    <w:name w:val="Normal Indent1"/>
    <w:basedOn w:val="1"/>
    <w:qFormat/>
    <w:uiPriority w:val="0"/>
    <w:pPr>
      <w:ind w:firstLine="420" w:firstLineChars="200"/>
    </w:pPr>
    <w:rPr>
      <w:rFonts w:ascii="Calibri" w:hAnsi="Calibri" w:cs="Times New Roman"/>
    </w:rPr>
  </w:style>
  <w:style w:type="paragraph" w:customStyle="1" w:styleId="19">
    <w:name w:val="UserStyle_0"/>
    <w:basedOn w:val="20"/>
    <w:next w:val="21"/>
    <w:link w:val="24"/>
    <w:qFormat/>
    <w:uiPriority w:val="0"/>
    <w:pPr>
      <w:spacing w:line="540" w:lineRule="exact"/>
      <w:ind w:firstLine="200" w:firstLineChars="200"/>
      <w:textAlignment w:val="baseline"/>
    </w:pPr>
    <w:rPr>
      <w:rFonts w:eastAsia="仿宋_GB2312"/>
      <w:sz w:val="28"/>
      <w:szCs w:val="28"/>
    </w:rPr>
  </w:style>
  <w:style w:type="paragraph" w:customStyle="1" w:styleId="20">
    <w:name w:val="NormalIndent"/>
    <w:basedOn w:val="1"/>
    <w:next w:val="1"/>
    <w:qFormat/>
    <w:uiPriority w:val="0"/>
    <w:pPr>
      <w:spacing w:line="540" w:lineRule="exact"/>
      <w:ind w:firstLine="200" w:firstLineChars="200"/>
      <w:jc w:val="both"/>
      <w:textAlignment w:val="baseline"/>
    </w:pPr>
    <w:rPr>
      <w:rFonts w:ascii="Calibri" w:hAnsi="Calibri" w:eastAsia="仿宋_GB2312" w:cs="Times New Roman"/>
      <w:kern w:val="2"/>
      <w:sz w:val="28"/>
      <w:szCs w:val="20"/>
      <w:lang w:val="en-US" w:eastAsia="zh-CN" w:bidi="ar-SA"/>
    </w:rPr>
  </w:style>
  <w:style w:type="paragraph" w:customStyle="1" w:styleId="21">
    <w:name w:val="BodyText1I2"/>
    <w:basedOn w:val="22"/>
    <w:qFormat/>
    <w:uiPriority w:val="0"/>
    <w:pPr>
      <w:spacing w:after="120" w:line="360" w:lineRule="auto"/>
      <w:ind w:left="420" w:leftChars="200" w:firstLineChars="0"/>
      <w:jc w:val="both"/>
      <w:textAlignment w:val="baseline"/>
    </w:pPr>
    <w:rPr>
      <w:kern w:val="2"/>
      <w:sz w:val="21"/>
      <w:szCs w:val="22"/>
      <w:lang w:val="en-US" w:eastAsia="zh-CN" w:bidi="ar-SA"/>
    </w:rPr>
  </w:style>
  <w:style w:type="paragraph" w:customStyle="1" w:styleId="22">
    <w:name w:val="BodyTextIndent"/>
    <w:basedOn w:val="1"/>
    <w:qFormat/>
    <w:uiPriority w:val="0"/>
    <w:pPr>
      <w:spacing w:after="120" w:line="240" w:lineRule="auto"/>
      <w:ind w:left="420" w:leftChars="200" w:firstLineChars="0"/>
      <w:jc w:val="both"/>
      <w:textAlignment w:val="baseline"/>
    </w:pPr>
    <w:rPr>
      <w:kern w:val="2"/>
      <w:sz w:val="21"/>
      <w:szCs w:val="24"/>
      <w:lang w:val="en-US" w:eastAsia="zh-CN" w:bidi="ar-SA"/>
    </w:rPr>
  </w:style>
  <w:style w:type="paragraph" w:customStyle="1" w:styleId="23">
    <w:name w:val="Body Text First Indent"/>
    <w:basedOn w:val="2"/>
    <w:next w:val="1"/>
    <w:qFormat/>
    <w:uiPriority w:val="0"/>
    <w:pPr>
      <w:ind w:firstLine="420" w:firstLineChars="100"/>
    </w:pPr>
    <w:rPr>
      <w:rFonts w:ascii="Times New Roman" w:hAnsi="Times New Roman"/>
    </w:rPr>
  </w:style>
  <w:style w:type="character" w:customStyle="1" w:styleId="24">
    <w:name w:val="UserStyle_0 Char Char"/>
    <w:link w:val="19"/>
    <w:qFormat/>
    <w:uiPriority w:val="0"/>
    <w:rPr>
      <w:rFonts w:eastAsia="仿宋_GB2312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3624</Words>
  <Characters>3664</Characters>
  <Lines>0</Lines>
  <Paragraphs>0</Paragraphs>
  <TotalTime>2</TotalTime>
  <ScaleCrop>false</ScaleCrop>
  <LinksUpToDate>false</LinksUpToDate>
  <CharactersWithSpaces>3672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2024-08-25T10:00:00Z</dcterms:created>
  <dc:creator>huawei</dc:creator>
  <cp:lastModifiedBy>莫北北</cp:lastModifiedBy>
  <cp:lastPrinted>2024-08-27T06:55:00Z</cp:lastPrinted>
  <dcterms:modified xsi:type="dcterms:W3CDTF">2025-02-08T07:06:48Z</dcterms:modified>
  <dc:title>川汇区  届人大常委会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55C22886DE5A49A7AFD0E4B1B7DC9150_11</vt:lpwstr>
  </property>
  <property fmtid="{D5CDD505-2E9C-101B-9397-08002B2CF9AE}" pid="4" name="KSOTemplateDocerSaveRecord">
    <vt:lpwstr>eyJoZGlkIjoiNWNjZTBlMDI2YTI0NjhlMmZjMmU2ZjRkNzNlZDNkNDYiLCJ1c2VySWQiOiIzNzQyMTQyNjQifQ==</vt:lpwstr>
  </property>
</Properties>
</file>