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847178">
      <w:pPr>
        <w:pStyle w:val="6"/>
        <w:keepNext w:val="0"/>
        <w:keepLines w:val="0"/>
        <w:widowControl/>
        <w:suppressLineNumbers w:val="0"/>
        <w:spacing w:before="0" w:beforeAutospacing="0" w:after="0" w:afterAutospacing="0" w:line="698" w:lineRule="atLeast"/>
        <w:ind w:left="0" w:right="0" w:firstLine="505"/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3"/>
          <w:szCs w:val="43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3"/>
          <w:szCs w:val="43"/>
          <w:shd w:val="clear" w:color="auto" w:fill="FFFFFF"/>
          <w:lang w:val="en-US" w:eastAsia="zh-CN"/>
        </w:rPr>
        <w:t>2024年度川汇区财政预算执行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3"/>
          <w:szCs w:val="43"/>
          <w:shd w:val="clear" w:color="auto" w:fill="FFFFFF"/>
          <w:lang w:eastAsia="zh-CN"/>
        </w:rPr>
        <w:t>及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3"/>
          <w:szCs w:val="43"/>
          <w:shd w:val="clear" w:color="auto" w:fill="FFFFFF"/>
        </w:rPr>
        <w:t>其他</w:t>
      </w:r>
    </w:p>
    <w:p w14:paraId="15FBCAAD">
      <w:pPr>
        <w:pStyle w:val="6"/>
        <w:keepNext w:val="0"/>
        <w:keepLines w:val="0"/>
        <w:widowControl/>
        <w:suppressLineNumbers w:val="0"/>
        <w:spacing w:before="0" w:beforeAutospacing="0" w:after="0" w:afterAutospacing="0" w:line="698" w:lineRule="atLeast"/>
        <w:ind w:left="0" w:right="0" w:firstLine="505"/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3"/>
          <w:szCs w:val="43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3"/>
          <w:szCs w:val="43"/>
          <w:shd w:val="clear" w:color="auto" w:fill="FFFFFF"/>
        </w:rPr>
        <w:t>财政收支审计结果</w:t>
      </w:r>
    </w:p>
    <w:p w14:paraId="770DE814">
      <w:p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根据《中华人民共和国审计法》第十七条的规定，川汇区审计局自20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日至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30</w:t>
      </w:r>
      <w:r>
        <w:rPr>
          <w:rFonts w:hint="eastAsia" w:ascii="仿宋_GB2312" w:eastAsia="仿宋_GB2312"/>
          <w:sz w:val="32"/>
          <w:szCs w:val="32"/>
        </w:rPr>
        <w:t>日，对川汇区20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z w:val="32"/>
          <w:szCs w:val="32"/>
        </w:rPr>
        <w:t>年度财政预算执行</w:t>
      </w:r>
      <w:r>
        <w:rPr>
          <w:rFonts w:hint="eastAsia" w:ascii="仿宋_GB2312" w:eastAsia="仿宋_GB2312"/>
          <w:sz w:val="32"/>
          <w:szCs w:val="32"/>
          <w:lang w:eastAsia="zh-CN"/>
        </w:rPr>
        <w:t>及</w:t>
      </w:r>
      <w:r>
        <w:rPr>
          <w:rFonts w:hint="eastAsia" w:ascii="仿宋_GB2312" w:eastAsia="仿宋_GB2312"/>
          <w:sz w:val="32"/>
          <w:szCs w:val="32"/>
        </w:rPr>
        <w:t>其他财政收支进行了审计。</w:t>
      </w:r>
      <w:r>
        <w:rPr>
          <w:rFonts w:hint="eastAsia" w:ascii="仿宋_GB2312" w:eastAsia="仿宋_GB2312"/>
          <w:sz w:val="32"/>
          <w:szCs w:val="32"/>
          <w:lang w:eastAsia="zh-CN"/>
        </w:rPr>
        <w:t>现将审计结果公告如下：</w:t>
      </w:r>
    </w:p>
    <w:p w14:paraId="16BC416C">
      <w:pPr>
        <w:numPr>
          <w:ilvl w:val="0"/>
          <w:numId w:val="0"/>
        </w:numPr>
        <w:tabs>
          <w:tab w:val="left" w:pos="-105"/>
        </w:tabs>
        <w:ind w:firstLine="640" w:firstLineChars="20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  <w:lang w:eastAsia="zh-CN"/>
        </w:rPr>
        <w:t>一、被审计单位</w:t>
      </w:r>
      <w:r>
        <w:rPr>
          <w:rFonts w:hint="eastAsia" w:ascii="黑体" w:eastAsia="黑体"/>
          <w:sz w:val="32"/>
          <w:szCs w:val="32"/>
        </w:rPr>
        <w:t>基本情况</w:t>
      </w:r>
    </w:p>
    <w:p w14:paraId="5C80813F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（一）基本情况</w:t>
      </w:r>
    </w:p>
    <w:p w14:paraId="66D6A24A">
      <w:pPr>
        <w:ind w:firstLine="640" w:firstLineChars="200"/>
        <w:rPr>
          <w:rFonts w:hint="eastAsia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川汇区财政局是川汇区政府工作部门，为正科级。主要职责是参与制定全区宏观经济政策，强化经济监测预测预警能力；深化财税体制改革，调整优化支出结构，全面推进绩效管理,防范化解地方政府债务风险,承担区级各项财政收支管理的责任。受区政府委托，向区人大、人大常委会报告全区财政预算执行情况和决算；监督财税方针政策、法律法规、行政规章制度的执行情况，检查反映财政收支管理中的重大问题，并提出加强管理的政策建议等。</w:t>
      </w:r>
    </w:p>
    <w:p w14:paraId="19D03515">
      <w:pPr>
        <w:ind w:left="31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（二）川汇区本级预算执行情况</w:t>
      </w:r>
    </w:p>
    <w:p w14:paraId="5CECD821">
      <w:pPr>
        <w:ind w:left="420" w:leftChars="200" w:firstLine="160" w:firstLineChars="5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1、区级公共财政预算执行情况</w:t>
      </w:r>
    </w:p>
    <w:p w14:paraId="32BA42B8">
      <w:pPr>
        <w:ind w:firstLine="645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2024年区本级公共财政预算收入预算数109990万元，实际完成110316万元，为预算的100.3%，同比增长8.3%。其中：税收收入完成67556万元，为预算的91.8%，同比增长3.3%；非税收入完成42760万元，为预算的117.4%，同比增长17.4%。</w:t>
      </w:r>
    </w:p>
    <w:p w14:paraId="68497E21">
      <w:pPr>
        <w:ind w:firstLine="645"/>
        <w:rPr>
          <w:rFonts w:hint="default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2024年公共财政预算支出预算数259190万元，调整预算数318781万元，实际完成307891万元，为调整预算96.58%，同比增长3.3%。</w:t>
      </w:r>
    </w:p>
    <w:p w14:paraId="62E35B2B">
      <w:pPr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2024年公共财政预算执行结果是：上年结余21857万元，公共财政预算收入110316万元（其中：税收收入67556万元，非税收入42760万元），上级补助收入186564万元（其中：返还性收入8110万元、一般性转移支付收入147839万元、专项转移支付收入30615万元），债务转贷收入2300万元，调入资金17130万元，动用预算稳定调节基金14472万元，收入总计330782万元；一般公共预算支出307891万元，上解上级支出30121万元，安排预算稳定调节基金326万元，债务还本支出3281万元，调出资金130万元，支出总计341749万元；年终结余10890万元。</w:t>
      </w:r>
    </w:p>
    <w:p w14:paraId="445C11BA">
      <w:pPr>
        <w:numPr>
          <w:ilvl w:val="0"/>
          <w:numId w:val="1"/>
        </w:numPr>
        <w:ind w:firstLine="645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区级政府性基金收入预算执行情况</w:t>
      </w:r>
    </w:p>
    <w:p w14:paraId="36457F83">
      <w:pPr>
        <w:ind w:firstLine="640" w:firstLineChars="200"/>
        <w:rPr>
          <w:rFonts w:hint="default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2024年政府性基金预算收入预算数0万元，实际完成1217万元。政府性基金支出预算数150611万元，调整预算数235955万元，完成数163287万元，为调整预算的69.2%。</w:t>
      </w:r>
    </w:p>
    <w:p w14:paraId="57535740">
      <w:pPr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2024年政府性基金预算执行结果是：政府性基金预算上年结余收入37227万元，政府性基金预算收入1217万元，政府性基金预算上级补助收入34859万元，调入资金130万元，债务转贷收入460100万元，政府性基金收入总计496306万元；政府性基金预算支出163287万元，政府性基金预算上解上级支出448万元，政府性基金预算调出资金17130万元，债务还本支出280000万元，政府性基金支出总计460865万元，年底结余72668万元。</w:t>
      </w:r>
    </w:p>
    <w:p w14:paraId="3C58E189">
      <w:pPr>
        <w:numPr>
          <w:ilvl w:val="0"/>
          <w:numId w:val="2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社会保险基金预算执行情况</w:t>
      </w:r>
    </w:p>
    <w:p w14:paraId="5A58DC3D">
      <w:pPr>
        <w:ind w:firstLine="640" w:firstLineChars="200"/>
        <w:rPr>
          <w:rFonts w:hint="default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2024年区级社会保险基金预算收入63269万元，实际完成77799万元，为预算的112.26%；区级社会保险基金支出预算为57325万元，实际完成79993万元，为预算的139.54%，比上年完成数56631万元，增加23362万元，增加41.25%。</w:t>
      </w:r>
    </w:p>
    <w:p w14:paraId="34CE11C0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二、审计评价意见</w:t>
      </w:r>
    </w:p>
    <w:p w14:paraId="26BDB091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审计结果表明，20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/>
          <w:sz w:val="32"/>
          <w:szCs w:val="32"/>
        </w:rPr>
        <w:t>年川汇区财政预算执行结果基本真实、合法、财政、财务收支和各项经济业务活动能够遵守相关会计准则和</w:t>
      </w:r>
      <w:r>
        <w:rPr>
          <w:rFonts w:hint="eastAsia" w:ascii="仿宋_GB2312" w:eastAsia="仿宋_GB2312"/>
          <w:sz w:val="32"/>
          <w:szCs w:val="32"/>
        </w:rPr>
        <w:t>《财政总预算会计制度》，财政资金的收支管理工作基本上能够遵守《中华人民共和国预算法》和国家有关财政政策，收支基本符合财政法规的规定。</w:t>
      </w:r>
    </w:p>
    <w:p w14:paraId="685B5FDF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通过审计我们认为，20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z w:val="32"/>
          <w:szCs w:val="32"/>
        </w:rPr>
        <w:t>年川汇区财政局认真贯彻中央各项方针政策，落实积极的财政政策，增强财政保障能力，构建公共财政框架，优化财政支出结构，着力保障和改善民生，积极争取上级转移支付资金，为促进区域经济发展做出了积极贡献。但是在执行国家财政政策、加强财政管理等方面还存在以下问题，需要进一步改进。</w:t>
      </w:r>
    </w:p>
    <w:p w14:paraId="7C4509B7">
      <w:pPr>
        <w:numPr>
          <w:ilvl w:val="0"/>
          <w:numId w:val="0"/>
        </w:numPr>
        <w:ind w:firstLine="640" w:firstLineChars="200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eastAsia="黑体"/>
          <w:sz w:val="32"/>
          <w:lang w:eastAsia="zh-CN"/>
        </w:rPr>
        <w:t>三、</w:t>
      </w:r>
      <w:r>
        <w:rPr>
          <w:rFonts w:hint="eastAsia" w:eastAsia="黑体"/>
          <w:sz w:val="32"/>
        </w:rPr>
        <w:t>审计发现的问题</w:t>
      </w:r>
      <w:r>
        <w:rPr>
          <w:rFonts w:hint="eastAsia" w:ascii="仿宋_GB2312" w:eastAsia="仿宋_GB2312"/>
          <w:sz w:val="32"/>
          <w:szCs w:val="32"/>
        </w:rPr>
        <w:t xml:space="preserve">  </w:t>
      </w:r>
    </w:p>
    <w:p w14:paraId="2484B9ED">
      <w:pPr>
        <w:numPr>
          <w:ilvl w:val="0"/>
          <w:numId w:val="0"/>
        </w:numPr>
        <w:ind w:firstLine="640" w:firstLineChars="200"/>
        <w:rPr>
          <w:rFonts w:hint="default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（一）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预算编制不完整。</w:t>
      </w:r>
    </w:p>
    <w:p w14:paraId="38A36902">
      <w:pPr>
        <w:numPr>
          <w:ilvl w:val="0"/>
          <w:numId w:val="0"/>
        </w:numPr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（二）对非预算单位拨款636万元。</w:t>
      </w:r>
    </w:p>
    <w:p w14:paraId="72B75C61">
      <w:pPr>
        <w:keepNext w:val="0"/>
        <w:keepLines w:val="0"/>
        <w:widowControl/>
        <w:suppressLineNumbers w:val="0"/>
        <w:spacing w:before="0" w:beforeAutospacing="0" w:after="0" w:afterAutospacing="0"/>
        <w:ind w:right="0" w:firstLine="640" w:firstLineChars="200"/>
        <w:jc w:val="left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（三）2024年临时机构纳入预算拨款398.95万元。</w:t>
      </w:r>
    </w:p>
    <w:p w14:paraId="19783934">
      <w:pPr>
        <w:ind w:firstLine="42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eastAsia="仿宋_GB2312"/>
          <w:lang w:val="en-US" w:eastAsia="zh-CN"/>
        </w:rPr>
        <w:t xml:space="preserve">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（四）</w:t>
      </w:r>
      <w:r>
        <w:rPr>
          <w:rFonts w:hint="eastAsia" w:ascii="仿宋_GB2312" w:hAnsi="Times New Roman" w:eastAsia="仿宋_GB2312" w:cs="Times New Roman"/>
          <w:sz w:val="32"/>
          <w:szCs w:val="32"/>
        </w:rPr>
        <w:t>应缴未缴预算收入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138.81万元。</w:t>
      </w:r>
    </w:p>
    <w:p w14:paraId="2E02115A">
      <w:pPr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（五）预算调整先调整后批复。</w:t>
      </w:r>
    </w:p>
    <w:p w14:paraId="6B70CEF4">
      <w:pPr>
        <w:pStyle w:val="3"/>
        <w:keepNext w:val="0"/>
        <w:keepLines w:val="0"/>
        <w:suppressLineNumbers w:val="0"/>
        <w:spacing w:before="0" w:beforeAutospacing="0" w:after="0" w:afterAutospacing="0"/>
        <w:ind w:right="0" w:firstLine="640" w:firstLineChars="200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</w:t>
      </w:r>
      <w:r>
        <w:rPr>
          <w:rFonts w:hint="eastAsia" w:hAnsi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六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）川汇区财政挪用</w:t>
      </w:r>
      <w:r>
        <w:rPr>
          <w:rFonts w:hint="eastAsia" w:hAnsi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政府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专项债券资金13367万元，用于财政预算平衡。</w:t>
      </w:r>
    </w:p>
    <w:p w14:paraId="4216B407">
      <w:pPr>
        <w:keepNext w:val="0"/>
        <w:keepLines w:val="0"/>
        <w:numPr>
          <w:ilvl w:val="0"/>
          <w:numId w:val="0"/>
        </w:numPr>
        <w:suppressLineNumbers w:val="0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(七）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虚增预算收入11500万元。</w:t>
      </w:r>
    </w:p>
    <w:p w14:paraId="2A57EC20">
      <w:pPr>
        <w:keepNext w:val="0"/>
        <w:keepLines w:val="0"/>
        <w:numPr>
          <w:ilvl w:val="0"/>
          <w:numId w:val="0"/>
        </w:numPr>
        <w:suppressLineNumbers w:val="0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（八）闲置滞留财政专项资金。</w:t>
      </w:r>
    </w:p>
    <w:p w14:paraId="3E2DB6E5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（九）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拖欠财政专项资金。</w:t>
      </w:r>
    </w:p>
    <w:p w14:paraId="3B6B6E54">
      <w:pPr>
        <w:pStyle w:val="6"/>
        <w:keepNext w:val="0"/>
        <w:keepLines w:val="0"/>
        <w:widowControl/>
        <w:suppressLineNumbers w:val="0"/>
        <w:spacing w:before="0" w:beforeAutospacing="0" w:after="0" w:afterAutospacing="0" w:line="534" w:lineRule="atLeast"/>
        <w:ind w:right="0" w:firstLine="620" w:firstLineChars="200"/>
        <w:jc w:val="both"/>
      </w:pPr>
      <w:r>
        <w:rPr>
          <w:rFonts w:hint="eastAsia" w:ascii="黑体" w:hAnsi="宋体" w:eastAsia="黑体" w:cs="黑体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四、审计处理情况和建议</w:t>
      </w:r>
    </w:p>
    <w:p w14:paraId="499071CD">
      <w:pPr>
        <w:pStyle w:val="6"/>
        <w:keepNext w:val="0"/>
        <w:keepLines w:val="0"/>
        <w:widowControl/>
        <w:suppressLineNumbers w:val="0"/>
        <w:spacing w:before="0" w:beforeAutospacing="0" w:after="0" w:afterAutospacing="0" w:line="534" w:lineRule="atLeast"/>
        <w:ind w:right="0" w:firstLine="620" w:firstLineChars="200"/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对上述问题，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  <w:lang w:eastAsia="zh-CN"/>
        </w:rPr>
        <w:t>川汇区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审计局已依法出具了审计报告。针对审计发现的问题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  <w:lang w:eastAsia="zh-CN"/>
        </w:rPr>
        <w:t>，川汇区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审计局提出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进一步加强部门非税收入的监管力度，促进财政收入及时足额上缴财政；进一步加强政府债券资金管理；进一步加强专项资金民生资金的管理等审计建议。</w:t>
      </w:r>
    </w:p>
    <w:p w14:paraId="1950CF6E">
      <w:pPr>
        <w:pStyle w:val="6"/>
        <w:keepNext w:val="0"/>
        <w:keepLines w:val="0"/>
        <w:widowControl/>
        <w:suppressLineNumbers w:val="0"/>
        <w:spacing w:before="0" w:beforeAutospacing="0" w:after="0" w:afterAutospacing="0" w:line="534" w:lineRule="atLeast"/>
        <w:ind w:left="0" w:right="0" w:firstLine="505"/>
      </w:pPr>
      <w:r>
        <w:rPr>
          <w:rFonts w:hint="eastAsia" w:ascii="黑体" w:hAnsi="宋体" w:eastAsia="黑体" w:cs="黑体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五、审计发现问题的整改情况</w:t>
      </w:r>
    </w:p>
    <w:p w14:paraId="3EBDA1F4">
      <w:pPr>
        <w:pStyle w:val="6"/>
        <w:keepNext w:val="0"/>
        <w:keepLines w:val="0"/>
        <w:widowControl/>
        <w:suppressLineNumbers w:val="0"/>
        <w:spacing w:before="0" w:beforeAutospacing="0" w:after="0" w:afterAutospacing="0" w:line="534" w:lineRule="atLeast"/>
        <w:ind w:left="0" w:right="0" w:firstLine="505"/>
        <w:jc w:val="both"/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目前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  <w:lang w:eastAsia="zh-CN"/>
        </w:rPr>
        <w:t>，川汇区财政局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正按照审计处理意见和建议采取积极措施，组织整改，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  <w:lang w:eastAsia="zh-CN"/>
        </w:rPr>
        <w:t>川汇区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1"/>
          <w:szCs w:val="31"/>
          <w:shd w:val="clear" w:color="auto" w:fill="FFFFFF"/>
        </w:rPr>
        <w:t>审计局将按规定跟踪检查整改情况，并督促公告审计整改结果。</w:t>
      </w:r>
    </w:p>
    <w:p w14:paraId="3565FA31">
      <w:pPr>
        <w:pStyle w:val="3"/>
        <w:rPr>
          <w:rFonts w:hint="default"/>
          <w:lang w:val="en-US" w:eastAsia="zh-CN"/>
        </w:rPr>
      </w:pPr>
    </w:p>
    <w:p w14:paraId="2A08CA07">
      <w:pPr>
        <w:pStyle w:val="3"/>
        <w:rPr>
          <w:rFonts w:hint="default"/>
          <w:lang w:val="en-US" w:eastAsia="zh-CN"/>
        </w:rPr>
      </w:pPr>
    </w:p>
    <w:p w14:paraId="01B01F9C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687E963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0641AB"/>
    <w:multiLevelType w:val="singleLevel"/>
    <w:tmpl w:val="290641AB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36A5F2C8"/>
    <w:multiLevelType w:val="singleLevel"/>
    <w:tmpl w:val="36A5F2C8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6B63FB"/>
    <w:rsid w:val="0E6B63FB"/>
    <w:rsid w:val="1A4264F7"/>
    <w:rsid w:val="426062F6"/>
    <w:rsid w:val="764E0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next w:val="1"/>
    <w:qFormat/>
    <w:uiPriority w:val="0"/>
    <w:rPr>
      <w:rFonts w:hint="eastAsia" w:ascii="仿宋_GB2312" w:eastAsia="仿宋_GB2312"/>
      <w:b/>
      <w:bCs/>
      <w:sz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1906</Words>
  <Characters>2286</Characters>
  <Lines>0</Lines>
  <Paragraphs>0</Paragraphs>
  <TotalTime>6</TotalTime>
  <ScaleCrop>false</ScaleCrop>
  <LinksUpToDate>false</LinksUpToDate>
  <CharactersWithSpaces>2293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2025-12-24T09:05:00Z</dcterms:created>
  <dc:creator>兜</dc:creator>
  <cp:lastModifiedBy>Administrator</cp:lastModifiedBy>
  <cp:lastPrinted>2025-12-24T09:35:00Z</cp:lastPrinted>
  <dcterms:modified xsi:type="dcterms:W3CDTF">2025-12-25T01:04:29Z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F4B2F4D43C534BFDAEC8734626AAE43C_11</vt:lpwstr>
  </property>
  <property fmtid="{D5CDD505-2E9C-101B-9397-08002B2CF9AE}" pid="4" name="KSOTemplateDocerSaveRecord">
    <vt:lpwstr>eyJoZGlkIjoiN2Y1MDhkYzUxNGRiMzFjMDJjZWRkOGJlNGIyZDcxMDIifQ==</vt:lpwstr>
  </property>
</Properties>
</file>