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C05BC8">
      <w:pPr>
        <w:keepNext w:val="0"/>
        <w:keepLines w:val="0"/>
        <w:pageBreakBefore w:val="0"/>
        <w:widowControl w:val="0"/>
        <w:kinsoku/>
        <w:wordWrap/>
        <w:overflowPunct/>
        <w:topLinePunct w:val="0"/>
        <w:autoSpaceDE/>
        <w:autoSpaceDN/>
        <w:bidi w:val="0"/>
        <w:adjustRightInd/>
        <w:snapToGrid/>
        <w:spacing w:after="32" w:afterLines="10" w:line="660" w:lineRule="exact"/>
        <w:textAlignment w:val="auto"/>
        <w:rPr>
          <w:rFonts w:hint="eastAsia" w:ascii="方正小标宋简体" w:hAnsi="方正小标宋简体" w:eastAsia="方正小标宋简体" w:cs="方正小标宋简体"/>
          <w:b/>
          <w:bCs/>
          <w:color w:val="auto"/>
          <w:sz w:val="36"/>
          <w:szCs w:val="36"/>
        </w:rPr>
      </w:pPr>
    </w:p>
    <w:p w14:paraId="7DAC7FE9">
      <w:pPr>
        <w:spacing w:line="660" w:lineRule="exact"/>
        <w:jc w:val="center"/>
        <w:rPr>
          <w:rFonts w:hint="eastAsia" w:ascii="方正小标宋简体" w:hAnsi="方正小标宋简体" w:eastAsia="方正小标宋简体" w:cs="方正小标宋简体"/>
          <w:b/>
          <w:bCs/>
          <w:color w:val="auto"/>
          <w:sz w:val="40"/>
          <w:szCs w:val="40"/>
        </w:rPr>
      </w:pPr>
      <w:bookmarkStart w:id="1" w:name="_GoBack"/>
      <w:r>
        <w:rPr>
          <w:rFonts w:hint="eastAsia" w:ascii="方正小标宋简体" w:hAnsi="方正小标宋简体" w:eastAsia="方正小标宋简体" w:cs="方正小标宋简体"/>
          <w:b/>
          <w:bCs/>
          <w:color w:val="auto"/>
          <w:sz w:val="40"/>
          <w:szCs w:val="40"/>
        </w:rPr>
        <w:t>川汇区</w:t>
      </w:r>
      <w:r>
        <w:rPr>
          <w:rFonts w:hint="eastAsia" w:ascii="方正小标宋简体" w:hAnsi="方正小标宋简体" w:eastAsia="方正小标宋简体" w:cs="方正小标宋简体"/>
          <w:b/>
          <w:bCs/>
          <w:color w:val="auto"/>
          <w:sz w:val="40"/>
          <w:szCs w:val="40"/>
          <w:lang w:val="en-US" w:eastAsia="zh-CN"/>
        </w:rPr>
        <w:t>1-11</w:t>
      </w:r>
      <w:r>
        <w:rPr>
          <w:rFonts w:hint="eastAsia" w:ascii="方正小标宋简体" w:hAnsi="方正小标宋简体" w:eastAsia="方正小标宋简体" w:cs="方正小标宋简体"/>
          <w:b/>
          <w:bCs/>
          <w:color w:val="auto"/>
          <w:sz w:val="40"/>
          <w:szCs w:val="40"/>
        </w:rPr>
        <w:t>主要经济指标</w:t>
      </w:r>
    </w:p>
    <w:p w14:paraId="4C4074CE">
      <w:pPr>
        <w:spacing w:after="312" w:afterLines="100" w:line="660" w:lineRule="exact"/>
        <w:jc w:val="center"/>
        <w:rPr>
          <w:rFonts w:hint="eastAsia" w:ascii="方正小标宋简体" w:hAnsi="方正小标宋简体" w:eastAsia="方正小标宋简体" w:cs="方正小标宋简体"/>
          <w:b/>
          <w:bCs/>
          <w:color w:val="auto"/>
          <w:sz w:val="40"/>
          <w:szCs w:val="40"/>
        </w:rPr>
      </w:pPr>
      <w:r>
        <w:rPr>
          <w:rFonts w:hint="eastAsia" w:ascii="方正小标宋简体" w:hAnsi="方正小标宋简体" w:eastAsia="方正小标宋简体" w:cs="方正小标宋简体"/>
          <w:b/>
          <w:bCs/>
          <w:color w:val="auto"/>
          <w:sz w:val="40"/>
          <w:szCs w:val="40"/>
        </w:rPr>
        <w:t>及升规纳统情况</w:t>
      </w:r>
    </w:p>
    <w:bookmarkEnd w:id="1"/>
    <w:p w14:paraId="1E7E94A8">
      <w:pPr>
        <w:keepNext w:val="0"/>
        <w:keepLines w:val="0"/>
        <w:widowControl/>
        <w:suppressLineNumbers w:val="0"/>
        <w:ind w:firstLine="640" w:firstLineChars="200"/>
        <w:jc w:val="left"/>
        <w:rPr>
          <w:rFonts w:hint="eastAsia" w:ascii="仿宋_GB2312" w:hAnsi="仿宋_GB2312" w:eastAsia="仿宋_GB2312" w:cs="仿宋_GB2312"/>
          <w:color w:val="auto"/>
          <w:sz w:val="32"/>
          <w:szCs w:val="32"/>
          <w:lang w:eastAsia="zh"/>
          <w:woUserID w:val="6"/>
        </w:rPr>
      </w:pPr>
      <w:r>
        <w:rPr>
          <w:rFonts w:hint="eastAsia" w:ascii="仿宋_GB2312" w:hAnsi="仿宋_GB2312" w:eastAsia="仿宋_GB2312" w:cs="仿宋_GB2312"/>
          <w:color w:val="auto"/>
          <w:sz w:val="32"/>
          <w:szCs w:val="32"/>
          <w:lang w:eastAsia="zh"/>
          <w:woUserID w:val="6"/>
        </w:rPr>
        <w:t>今年以来，在区委、区政府的坚强领导下，深入学习贯彻党的二十届四中全会精神和习近平总书记在河南考察时重要讲话精神，紧扣“两高四着力”发展要求，锚定“1+2+4+N”目标任务体系，严格落实市委“16232”总体工作思路，以“十二个紧盯”促发展、以“五个清单”抓项目，坚定信心攻坚克难，精准发力推动落实，各项政策措施落地见效。</w:t>
      </w:r>
      <w:r>
        <w:rPr>
          <w:rFonts w:hint="eastAsia" w:ascii="仿宋_GB2312" w:hAnsi="仿宋_GB2312" w:eastAsia="仿宋_GB2312" w:cs="仿宋_GB2312"/>
          <w:color w:val="auto"/>
          <w:sz w:val="32"/>
          <w:szCs w:val="32"/>
          <w:lang w:val="en-US" w:eastAsia="zh-CN"/>
          <w:woUserID w:val="6"/>
        </w:rPr>
        <w:t>初步核算，</w:t>
      </w:r>
      <w:r>
        <w:rPr>
          <w:rFonts w:ascii="仿宋_GB2312" w:hAnsi="宋体" w:eastAsia="仿宋_GB2312" w:cs="仿宋_GB2312"/>
          <w:color w:val="000000"/>
          <w:kern w:val="0"/>
          <w:sz w:val="31"/>
          <w:szCs w:val="31"/>
          <w:lang w:val="en-US" w:eastAsia="zh-CN" w:bidi="ar"/>
        </w:rPr>
        <w:t>全</w:t>
      </w:r>
      <w:r>
        <w:rPr>
          <w:rFonts w:hint="eastAsia" w:ascii="仿宋_GB2312" w:hAnsi="宋体" w:eastAsia="仿宋_GB2312" w:cs="仿宋_GB2312"/>
          <w:color w:val="000000"/>
          <w:kern w:val="0"/>
          <w:sz w:val="31"/>
          <w:szCs w:val="31"/>
          <w:lang w:val="en-US" w:eastAsia="zh-CN" w:bidi="ar"/>
        </w:rPr>
        <w:t>区主要经济指标稳步攀升，</w:t>
      </w:r>
      <w:r>
        <w:rPr>
          <w:rFonts w:hint="eastAsia" w:ascii="仿宋_GB2312" w:hAnsi="仿宋_GB2312" w:eastAsia="仿宋_GB2312" w:cs="仿宋_GB2312"/>
          <w:color w:val="auto"/>
          <w:sz w:val="32"/>
          <w:szCs w:val="32"/>
          <w:lang w:eastAsia="zh"/>
          <w:woUserID w:val="6"/>
        </w:rPr>
        <w:t>经济运行延续稳中有进、进中提质的良好态势，为中国式现代化建设川汇实践筑牢坚实基础。</w:t>
      </w:r>
    </w:p>
    <w:p w14:paraId="7FB96040">
      <w:pPr>
        <w:keepNext w:val="0"/>
        <w:keepLines w:val="0"/>
        <w:pageBreakBefore w:val="0"/>
        <w:widowControl w:val="0"/>
        <w:numPr>
          <w:ilvl w:val="0"/>
          <w:numId w:val="1"/>
        </w:numPr>
        <w:kinsoku/>
        <w:wordWrap/>
        <w:topLinePunct w:val="0"/>
        <w:autoSpaceDN/>
        <w:bidi w:val="0"/>
        <w:spacing w:beforeAutospacing="0" w:afterAutospacing="0" w:line="660" w:lineRule="exact"/>
        <w:ind w:firstLine="640" w:firstLineChars="200"/>
        <w:jc w:val="both"/>
        <w:textAlignment w:val="auto"/>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rPr>
        <w:t>主要经济指标情况</w:t>
      </w:r>
    </w:p>
    <w:p w14:paraId="3F47E314">
      <w:pPr>
        <w:keepNext w:val="0"/>
        <w:keepLines w:val="0"/>
        <w:pageBreakBefore w:val="0"/>
        <w:widowControl/>
        <w:numPr>
          <w:ilvl w:val="0"/>
          <w:numId w:val="2"/>
        </w:numPr>
        <w:suppressLineNumbers w:val="0"/>
        <w:kinsoku/>
        <w:wordWrap/>
        <w:overflowPunct/>
        <w:topLinePunct w:val="0"/>
        <w:autoSpaceDE/>
        <w:autoSpaceDN/>
        <w:bidi w:val="0"/>
        <w:adjustRightInd/>
        <w:snapToGrid/>
        <w:spacing w:beforeAutospacing="0" w:afterAutospacing="0" w:line="660" w:lineRule="exact"/>
        <w:ind w:left="0" w:leftChars="0" w:firstLine="640" w:firstLineChars="200"/>
        <w:jc w:val="both"/>
        <w:textAlignment w:val="auto"/>
        <w:rPr>
          <w:rFonts w:hint="eastAsia" w:ascii="楷体" w:hAnsi="楷体" w:eastAsia="楷体" w:cs="楷体"/>
          <w:color w:val="auto"/>
          <w:kern w:val="2"/>
          <w:sz w:val="32"/>
          <w:szCs w:val="32"/>
          <w:shd w:val="clear" w:fill="FFFFFF"/>
          <w:lang w:val="en-US" w:eastAsia="zh-CN" w:bidi="ar-SA"/>
        </w:rPr>
      </w:pPr>
      <w:r>
        <w:rPr>
          <w:rFonts w:hint="eastAsia" w:ascii="楷体" w:hAnsi="楷体" w:eastAsia="楷体" w:cs="楷体"/>
          <w:color w:val="auto"/>
          <w:kern w:val="2"/>
          <w:sz w:val="32"/>
          <w:szCs w:val="32"/>
          <w:shd w:val="clear" w:fill="FFFFFF"/>
          <w:lang w:val="en-US" w:eastAsia="zh-CN" w:bidi="ar-SA"/>
        </w:rPr>
        <w:t>地区生产总值（前三季度）</w:t>
      </w:r>
    </w:p>
    <w:p w14:paraId="35BEE3C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60" w:lineRule="exact"/>
        <w:ind w:left="0" w:right="0" w:firstLine="640" w:firstLineChars="200"/>
        <w:jc w:val="both"/>
        <w:textAlignment w:val="auto"/>
        <w:rPr>
          <w:rFonts w:hint="eastAsia" w:ascii="楷体" w:hAnsi="楷体" w:eastAsia="楷体" w:cs="楷体"/>
          <w:color w:val="auto"/>
          <w:kern w:val="2"/>
          <w:sz w:val="32"/>
          <w:szCs w:val="32"/>
          <w:shd w:val="clear" w:fill="FFFFFF"/>
          <w:lang w:val="en-US" w:eastAsia="zh-CN" w:bidi="ar-SA"/>
        </w:rPr>
      </w:pPr>
      <w:r>
        <w:rPr>
          <w:rFonts w:hint="eastAsia" w:ascii="Times New Roman" w:hAnsi="Times New Roman" w:eastAsia="仿宋_GB2312" w:cs="Times New Roman"/>
          <w:color w:val="auto"/>
          <w:kern w:val="2"/>
          <w:sz w:val="32"/>
          <w:szCs w:val="32"/>
          <w:shd w:val="clear" w:color="auto" w:fill="FFFFFF"/>
          <w:lang w:val="en-US" w:eastAsia="zh-CN" w:bidi="ar-SA"/>
          <w:woUserID w:val="1"/>
        </w:rPr>
        <w:t>前三季度川汇区</w:t>
      </w:r>
      <w:r>
        <w:rPr>
          <w:rFonts w:hint="eastAsia" w:ascii="Times New Roman" w:hAnsi="Times New Roman" w:eastAsia="仿宋_GB2312" w:cs="Times New Roman"/>
          <w:color w:val="auto"/>
          <w:kern w:val="2"/>
          <w:sz w:val="32"/>
          <w:szCs w:val="32"/>
          <w:shd w:val="clear" w:color="auto" w:fill="FFFFFF"/>
          <w:lang w:val="en-US" w:eastAsia="zh" w:bidi="ar-SA"/>
          <w:woUserID w:val="1"/>
        </w:rPr>
        <w:t>地区生产总值</w:t>
      </w:r>
      <w:r>
        <w:rPr>
          <w:rFonts w:hint="eastAsia" w:ascii="Times New Roman" w:hAnsi="Times New Roman" w:eastAsia="仿宋_GB2312" w:cs="Times New Roman"/>
          <w:color w:val="auto"/>
          <w:kern w:val="2"/>
          <w:sz w:val="32"/>
          <w:szCs w:val="32"/>
          <w:shd w:val="clear" w:color="auto" w:fill="FFFFFF"/>
          <w:lang w:val="en-US" w:eastAsia="zh-CN" w:bidi="ar-SA"/>
          <w:woUserID w:val="1"/>
        </w:rPr>
        <w:t>165.8</w:t>
      </w:r>
      <w:r>
        <w:rPr>
          <w:rFonts w:hint="eastAsia" w:ascii="Times New Roman" w:hAnsi="Times New Roman" w:eastAsia="仿宋_GB2312" w:cs="Times New Roman"/>
          <w:color w:val="auto"/>
          <w:kern w:val="2"/>
          <w:sz w:val="32"/>
          <w:szCs w:val="32"/>
          <w:shd w:val="clear" w:color="auto" w:fill="FFFFFF"/>
          <w:lang w:val="en-US" w:eastAsia="zh" w:bidi="ar-SA"/>
          <w:woUserID w:val="1"/>
        </w:rPr>
        <w:t>亿元，同比增长</w:t>
      </w:r>
      <w:r>
        <w:rPr>
          <w:rFonts w:hint="eastAsia" w:ascii="Times New Roman" w:hAnsi="Times New Roman" w:eastAsia="仿宋_GB2312" w:cs="Times New Roman"/>
          <w:color w:val="auto"/>
          <w:kern w:val="2"/>
          <w:sz w:val="32"/>
          <w:szCs w:val="32"/>
          <w:shd w:val="clear" w:color="auto" w:fill="FFFFFF"/>
          <w:lang w:val="en-US" w:eastAsia="zh-CN" w:bidi="ar-SA"/>
          <w:woUserID w:val="1"/>
        </w:rPr>
        <w:t>6.</w:t>
      </w:r>
      <w:r>
        <w:rPr>
          <w:rFonts w:hint="eastAsia" w:ascii="Times New Roman" w:hAnsi="Times New Roman" w:eastAsia="仿宋_GB2312" w:cs="Times New Roman"/>
          <w:color w:val="auto"/>
          <w:kern w:val="2"/>
          <w:sz w:val="32"/>
          <w:szCs w:val="32"/>
          <w:shd w:val="clear" w:color="auto" w:fill="FFFFFF"/>
          <w:lang w:val="en-US" w:eastAsia="zh" w:bidi="ar-SA"/>
          <w:woUserID w:val="1"/>
        </w:rPr>
        <w:t>7%，高于全</w:t>
      </w:r>
      <w:r>
        <w:rPr>
          <w:rFonts w:hint="eastAsia" w:ascii="Times New Roman" w:hAnsi="Times New Roman" w:eastAsia="仿宋_GB2312" w:cs="Times New Roman"/>
          <w:color w:val="auto"/>
          <w:kern w:val="2"/>
          <w:sz w:val="32"/>
          <w:szCs w:val="32"/>
          <w:shd w:val="clear" w:color="auto" w:fill="FFFFFF"/>
          <w:lang w:val="en-US" w:eastAsia="zh-CN" w:bidi="ar-SA"/>
          <w:woUserID w:val="1"/>
        </w:rPr>
        <w:t>市0.3</w:t>
      </w:r>
      <w:r>
        <w:rPr>
          <w:rFonts w:hint="eastAsia" w:ascii="Times New Roman" w:hAnsi="Times New Roman" w:eastAsia="仿宋_GB2312" w:cs="Times New Roman"/>
          <w:color w:val="auto"/>
          <w:kern w:val="2"/>
          <w:sz w:val="32"/>
          <w:szCs w:val="32"/>
          <w:shd w:val="clear" w:color="auto" w:fill="FFFFFF"/>
          <w:lang w:val="en-US" w:eastAsia="zh" w:bidi="ar-SA"/>
          <w:woUserID w:val="1"/>
        </w:rPr>
        <w:t>个百分点</w:t>
      </w:r>
      <w:r>
        <w:rPr>
          <w:rFonts w:hint="eastAsia" w:ascii="Times New Roman" w:hAnsi="Times New Roman" w:eastAsia="仿宋_GB2312" w:cs="Times New Roman"/>
          <w:color w:val="auto"/>
          <w:kern w:val="2"/>
          <w:sz w:val="32"/>
          <w:szCs w:val="32"/>
          <w:shd w:val="clear" w:color="auto" w:fill="FFFFFF"/>
          <w:lang w:val="en-US" w:eastAsia="zh-CN" w:bidi="ar-SA"/>
          <w:woUserID w:val="1"/>
        </w:rPr>
        <w:t>，</w:t>
      </w:r>
      <w:r>
        <w:rPr>
          <w:rFonts w:hint="eastAsia" w:ascii="Times New Roman" w:hAnsi="Times New Roman" w:eastAsia="仿宋_GB2312" w:cs="Times New Roman"/>
          <w:color w:val="auto"/>
          <w:kern w:val="2"/>
          <w:sz w:val="32"/>
          <w:szCs w:val="32"/>
          <w:shd w:val="clear" w:color="auto" w:fill="FFFFFF"/>
          <w:lang w:val="en-US" w:eastAsia="zh" w:bidi="ar-SA"/>
          <w:woUserID w:val="1"/>
        </w:rPr>
        <w:t>分产业看，一产增加值</w:t>
      </w:r>
      <w:r>
        <w:rPr>
          <w:rFonts w:hint="eastAsia" w:ascii="Times New Roman" w:hAnsi="Times New Roman" w:eastAsia="仿宋_GB2312" w:cs="Times New Roman"/>
          <w:color w:val="auto"/>
          <w:kern w:val="2"/>
          <w:sz w:val="32"/>
          <w:szCs w:val="32"/>
          <w:shd w:val="clear" w:color="auto" w:fill="FFFFFF"/>
          <w:lang w:val="en-US" w:eastAsia="zh-CN" w:bidi="ar-SA"/>
          <w:woUserID w:val="1"/>
        </w:rPr>
        <w:t>9.4</w:t>
      </w:r>
      <w:r>
        <w:rPr>
          <w:rFonts w:hint="eastAsia" w:ascii="Times New Roman" w:hAnsi="Times New Roman" w:eastAsia="仿宋_GB2312" w:cs="Times New Roman"/>
          <w:color w:val="auto"/>
          <w:kern w:val="2"/>
          <w:sz w:val="32"/>
          <w:szCs w:val="32"/>
          <w:shd w:val="clear" w:color="auto" w:fill="FFFFFF"/>
          <w:lang w:val="en-US" w:eastAsia="zh" w:bidi="ar-SA"/>
          <w:woUserID w:val="1"/>
        </w:rPr>
        <w:t>亿元，增长</w:t>
      </w:r>
      <w:r>
        <w:rPr>
          <w:rFonts w:hint="eastAsia" w:ascii="Times New Roman" w:hAnsi="Times New Roman" w:eastAsia="仿宋_GB2312" w:cs="Times New Roman"/>
          <w:color w:val="auto"/>
          <w:kern w:val="2"/>
          <w:sz w:val="32"/>
          <w:szCs w:val="32"/>
          <w:shd w:val="clear" w:color="auto" w:fill="FFFFFF"/>
          <w:lang w:val="en-US" w:eastAsia="zh-CN" w:bidi="ar-SA"/>
          <w:woUserID w:val="1"/>
        </w:rPr>
        <w:t>3.4</w:t>
      </w:r>
      <w:r>
        <w:rPr>
          <w:rFonts w:hint="eastAsia" w:ascii="Times New Roman" w:hAnsi="Times New Roman" w:eastAsia="仿宋_GB2312" w:cs="Times New Roman"/>
          <w:color w:val="auto"/>
          <w:kern w:val="2"/>
          <w:sz w:val="32"/>
          <w:szCs w:val="32"/>
          <w:shd w:val="clear" w:color="auto" w:fill="FFFFFF"/>
          <w:lang w:val="en-US" w:eastAsia="zh" w:bidi="ar-SA"/>
          <w:woUserID w:val="1"/>
        </w:rPr>
        <w:t>%；二产增加值</w:t>
      </w:r>
      <w:r>
        <w:rPr>
          <w:rFonts w:hint="eastAsia" w:ascii="Times New Roman" w:hAnsi="Times New Roman" w:eastAsia="仿宋_GB2312" w:cs="Times New Roman"/>
          <w:color w:val="auto"/>
          <w:kern w:val="2"/>
          <w:sz w:val="32"/>
          <w:szCs w:val="32"/>
          <w:shd w:val="clear" w:color="auto" w:fill="FFFFFF"/>
          <w:lang w:val="en-US" w:eastAsia="zh-CN" w:bidi="ar-SA"/>
          <w:woUserID w:val="1"/>
        </w:rPr>
        <w:t>37.7</w:t>
      </w:r>
      <w:r>
        <w:rPr>
          <w:rFonts w:hint="eastAsia" w:ascii="Times New Roman" w:hAnsi="Times New Roman" w:eastAsia="仿宋_GB2312" w:cs="Times New Roman"/>
          <w:color w:val="auto"/>
          <w:kern w:val="2"/>
          <w:sz w:val="32"/>
          <w:szCs w:val="32"/>
          <w:shd w:val="clear" w:color="auto" w:fill="FFFFFF"/>
          <w:lang w:val="en-US" w:eastAsia="zh" w:bidi="ar-SA"/>
          <w:woUserID w:val="1"/>
        </w:rPr>
        <w:t>亿元，增长6.9%；三产增加值</w:t>
      </w:r>
      <w:r>
        <w:rPr>
          <w:rFonts w:hint="eastAsia" w:ascii="Times New Roman" w:hAnsi="Times New Roman" w:eastAsia="仿宋_GB2312" w:cs="Times New Roman"/>
          <w:color w:val="auto"/>
          <w:kern w:val="2"/>
          <w:sz w:val="32"/>
          <w:szCs w:val="32"/>
          <w:shd w:val="clear" w:color="auto" w:fill="FFFFFF"/>
          <w:lang w:val="en-US" w:eastAsia="zh-CN" w:bidi="ar-SA"/>
          <w:woUserID w:val="1"/>
        </w:rPr>
        <w:t>118.7</w:t>
      </w:r>
      <w:r>
        <w:rPr>
          <w:rFonts w:hint="eastAsia" w:ascii="Times New Roman" w:hAnsi="Times New Roman" w:eastAsia="仿宋_GB2312" w:cs="Times New Roman"/>
          <w:color w:val="auto"/>
          <w:kern w:val="2"/>
          <w:sz w:val="32"/>
          <w:szCs w:val="32"/>
          <w:shd w:val="clear" w:color="auto" w:fill="FFFFFF"/>
          <w:lang w:val="en-US" w:eastAsia="zh" w:bidi="ar-SA"/>
          <w:woUserID w:val="1"/>
        </w:rPr>
        <w:t>亿元，增长</w:t>
      </w:r>
      <w:r>
        <w:rPr>
          <w:rFonts w:hint="eastAsia" w:ascii="Times New Roman" w:hAnsi="Times New Roman" w:eastAsia="仿宋_GB2312" w:cs="Times New Roman"/>
          <w:color w:val="auto"/>
          <w:kern w:val="2"/>
          <w:sz w:val="32"/>
          <w:szCs w:val="32"/>
          <w:shd w:val="clear" w:color="auto" w:fill="FFFFFF"/>
          <w:lang w:val="en-US" w:eastAsia="zh-CN" w:bidi="ar-SA"/>
          <w:woUserID w:val="1"/>
        </w:rPr>
        <w:t>7</w:t>
      </w:r>
      <w:r>
        <w:rPr>
          <w:rFonts w:hint="eastAsia" w:ascii="Times New Roman" w:hAnsi="Times New Roman" w:eastAsia="仿宋_GB2312" w:cs="Times New Roman"/>
          <w:color w:val="auto"/>
          <w:kern w:val="2"/>
          <w:sz w:val="32"/>
          <w:szCs w:val="32"/>
          <w:shd w:val="clear" w:color="auto" w:fill="FFFFFF"/>
          <w:lang w:val="en-US" w:eastAsia="zh" w:bidi="ar-SA"/>
          <w:woUserID w:val="1"/>
        </w:rPr>
        <w:t>.4%。</w:t>
      </w:r>
      <w:r>
        <w:rPr>
          <w:rFonts w:hint="eastAsia" w:ascii="Times New Roman" w:hAnsi="Times New Roman" w:eastAsia="仿宋_GB2312" w:cs="Times New Roman"/>
          <w:color w:val="auto"/>
          <w:kern w:val="2"/>
          <w:sz w:val="32"/>
          <w:szCs w:val="32"/>
          <w:shd w:val="clear" w:color="auto" w:fill="FFFFFF"/>
          <w:lang w:val="en-US" w:eastAsia="zh-CN" w:bidi="ar-SA"/>
          <w:woUserID w:val="1"/>
        </w:rPr>
        <w:t>三</w:t>
      </w:r>
      <w:bookmarkStart w:id="0" w:name="OfficeAI_Add_0_298"/>
      <w:r>
        <w:rPr>
          <w:rFonts w:hint="eastAsia" w:ascii="Times New Roman" w:hAnsi="Times New Roman" w:eastAsia="仿宋_GB2312" w:cs="Times New Roman"/>
          <w:color w:val="auto"/>
          <w:kern w:val="2"/>
          <w:sz w:val="32"/>
          <w:szCs w:val="32"/>
          <w:shd w:val="clear" w:color="auto" w:fill="FFFFFF"/>
          <w:lang w:val="en-US" w:eastAsia="zh-CN" w:bidi="ar-SA"/>
          <w:woUserID w:val="1"/>
        </w:rPr>
        <w:t>次</w:t>
      </w:r>
      <w:bookmarkEnd w:id="0"/>
      <w:r>
        <w:rPr>
          <w:rFonts w:hint="eastAsia" w:ascii="Times New Roman" w:hAnsi="Times New Roman" w:eastAsia="仿宋_GB2312" w:cs="Times New Roman"/>
          <w:color w:val="auto"/>
          <w:kern w:val="2"/>
          <w:sz w:val="32"/>
          <w:szCs w:val="32"/>
          <w:shd w:val="clear" w:color="auto" w:fill="FFFFFF"/>
          <w:lang w:val="en-US" w:eastAsia="zh-CN" w:bidi="ar-SA"/>
          <w:woUserID w:val="1"/>
        </w:rPr>
        <w:t>产业占比</w:t>
      </w:r>
      <w:r>
        <w:rPr>
          <w:rFonts w:hint="eastAsia" w:ascii="Times New Roman" w:hAnsi="Times New Roman" w:eastAsia="仿宋_GB2312" w:cs="Times New Roman"/>
          <w:color w:val="auto"/>
          <w:kern w:val="2"/>
          <w:sz w:val="32"/>
          <w:szCs w:val="32"/>
          <w:shd w:val="clear" w:color="auto" w:fill="FFFFFF"/>
          <w:lang w:val="en-US" w:eastAsia="zh" w:bidi="ar-SA"/>
          <w:woUserID w:val="1"/>
        </w:rPr>
        <w:t>5.6</w:t>
      </w:r>
      <w:r>
        <w:rPr>
          <w:rFonts w:hint="eastAsia" w:ascii="Times New Roman" w:hAnsi="Times New Roman" w:eastAsia="仿宋_GB2312" w:cs="Times New Roman"/>
          <w:color w:val="auto"/>
          <w:kern w:val="2"/>
          <w:sz w:val="32"/>
          <w:szCs w:val="32"/>
          <w:shd w:val="clear" w:color="auto" w:fill="FFFFFF"/>
          <w:lang w:val="en-US" w:eastAsia="zh-CN" w:bidi="ar-SA"/>
          <w:woUserID w:val="1"/>
        </w:rPr>
        <w:t>：</w:t>
      </w:r>
      <w:r>
        <w:rPr>
          <w:rFonts w:hint="eastAsia" w:ascii="Times New Roman" w:hAnsi="Times New Roman" w:eastAsia="仿宋_GB2312" w:cs="Times New Roman"/>
          <w:color w:val="auto"/>
          <w:kern w:val="2"/>
          <w:sz w:val="32"/>
          <w:szCs w:val="32"/>
          <w:shd w:val="clear" w:color="auto" w:fill="FFFFFF"/>
          <w:lang w:val="en-US" w:eastAsia="zh" w:bidi="ar-SA"/>
          <w:woUserID w:val="1"/>
        </w:rPr>
        <w:t>2</w:t>
      </w:r>
      <w:r>
        <w:rPr>
          <w:rFonts w:hint="eastAsia" w:ascii="Times New Roman" w:hAnsi="Times New Roman" w:eastAsia="仿宋_GB2312" w:cs="Times New Roman"/>
          <w:color w:val="auto"/>
          <w:kern w:val="2"/>
          <w:sz w:val="32"/>
          <w:szCs w:val="32"/>
          <w:shd w:val="clear" w:color="auto" w:fill="FFFFFF"/>
          <w:lang w:val="en-US" w:eastAsia="zh-CN" w:bidi="ar-SA"/>
          <w:woUserID w:val="1"/>
        </w:rPr>
        <w:t>2</w:t>
      </w:r>
      <w:r>
        <w:rPr>
          <w:rFonts w:hint="eastAsia" w:ascii="Times New Roman" w:hAnsi="Times New Roman" w:eastAsia="仿宋_GB2312" w:cs="Times New Roman"/>
          <w:color w:val="auto"/>
          <w:kern w:val="2"/>
          <w:sz w:val="32"/>
          <w:szCs w:val="32"/>
          <w:shd w:val="clear" w:color="auto" w:fill="FFFFFF"/>
          <w:lang w:val="en-US" w:eastAsia="zh" w:bidi="ar-SA"/>
          <w:woUserID w:val="1"/>
        </w:rPr>
        <w:t>.</w:t>
      </w:r>
      <w:r>
        <w:rPr>
          <w:rFonts w:hint="eastAsia" w:ascii="Times New Roman" w:hAnsi="Times New Roman" w:eastAsia="仿宋_GB2312" w:cs="Times New Roman"/>
          <w:color w:val="auto"/>
          <w:kern w:val="2"/>
          <w:sz w:val="32"/>
          <w:szCs w:val="32"/>
          <w:shd w:val="clear" w:color="auto" w:fill="FFFFFF"/>
          <w:lang w:val="en-US" w:eastAsia="zh-CN" w:bidi="ar-SA"/>
          <w:woUserID w:val="1"/>
        </w:rPr>
        <w:t>8：</w:t>
      </w:r>
      <w:r>
        <w:rPr>
          <w:rFonts w:hint="eastAsia" w:ascii="Times New Roman" w:hAnsi="Times New Roman" w:eastAsia="仿宋_GB2312" w:cs="Times New Roman"/>
          <w:color w:val="auto"/>
          <w:kern w:val="2"/>
          <w:sz w:val="32"/>
          <w:szCs w:val="32"/>
          <w:shd w:val="clear" w:color="auto" w:fill="FFFFFF"/>
          <w:lang w:val="en-US" w:eastAsia="zh" w:bidi="ar-SA"/>
          <w:woUserID w:val="1"/>
        </w:rPr>
        <w:t>7</w:t>
      </w:r>
      <w:r>
        <w:rPr>
          <w:rFonts w:hint="eastAsia" w:ascii="Times New Roman" w:hAnsi="Times New Roman" w:eastAsia="仿宋_GB2312" w:cs="Times New Roman"/>
          <w:color w:val="auto"/>
          <w:kern w:val="2"/>
          <w:sz w:val="32"/>
          <w:szCs w:val="32"/>
          <w:shd w:val="clear" w:color="auto" w:fill="FFFFFF"/>
          <w:lang w:val="en-US" w:eastAsia="zh-CN" w:bidi="ar-SA"/>
          <w:woUserID w:val="1"/>
        </w:rPr>
        <w:t>1.6，产业结构全市最优。</w:t>
      </w:r>
    </w:p>
    <w:p w14:paraId="430916AF">
      <w:pPr>
        <w:keepNext w:val="0"/>
        <w:keepLines w:val="0"/>
        <w:pageBreakBefore w:val="0"/>
        <w:widowControl/>
        <w:numPr>
          <w:ilvl w:val="0"/>
          <w:numId w:val="2"/>
        </w:numPr>
        <w:suppressLineNumbers w:val="0"/>
        <w:kinsoku/>
        <w:wordWrap/>
        <w:overflowPunct/>
        <w:topLinePunct w:val="0"/>
        <w:autoSpaceDE/>
        <w:autoSpaceDN/>
        <w:bidi w:val="0"/>
        <w:adjustRightInd/>
        <w:snapToGrid/>
        <w:spacing w:beforeAutospacing="0" w:afterAutospacing="0" w:line="660" w:lineRule="exact"/>
        <w:ind w:left="0" w:leftChars="0" w:firstLine="640" w:firstLineChars="200"/>
        <w:jc w:val="both"/>
        <w:textAlignment w:val="auto"/>
        <w:rPr>
          <w:rFonts w:hint="eastAsia" w:ascii="楷体" w:hAnsi="楷体" w:eastAsia="楷体" w:cs="楷体"/>
          <w:color w:val="auto"/>
          <w:kern w:val="2"/>
          <w:sz w:val="32"/>
          <w:szCs w:val="32"/>
          <w:shd w:val="clear" w:color="auto" w:fill="FFFFFF"/>
          <w:lang w:val="en-US" w:eastAsia="zh-CN" w:bidi="ar-SA"/>
        </w:rPr>
      </w:pPr>
      <w:r>
        <w:rPr>
          <w:rFonts w:hint="eastAsia" w:ascii="楷体" w:hAnsi="楷体" w:eastAsia="楷体" w:cs="楷体"/>
          <w:color w:val="auto"/>
          <w:kern w:val="2"/>
          <w:sz w:val="32"/>
          <w:szCs w:val="32"/>
          <w:shd w:val="clear" w:color="auto" w:fill="FFFFFF"/>
          <w:lang w:val="en-US" w:eastAsia="zh-CN" w:bidi="ar-SA"/>
        </w:rPr>
        <w:t>规模以上工业增加值</w:t>
      </w:r>
    </w:p>
    <w:p w14:paraId="674B5288">
      <w:pPr>
        <w:keepNext w:val="0"/>
        <w:keepLines w:val="0"/>
        <w:widowControl/>
        <w:suppressLineNumbers w:val="0"/>
        <w:ind w:firstLine="620" w:firstLineChars="200"/>
        <w:jc w:val="left"/>
      </w:pPr>
      <w:r>
        <w:rPr>
          <w:rFonts w:hint="default" w:ascii="Times New Roman" w:hAnsi="Times New Roman" w:eastAsia="宋体" w:cs="Times New Roman"/>
          <w:color w:val="000000"/>
          <w:kern w:val="0"/>
          <w:sz w:val="31"/>
          <w:szCs w:val="31"/>
          <w:lang w:val="en-US" w:eastAsia="zh-CN" w:bidi="ar"/>
        </w:rPr>
        <w:t>1-11</w:t>
      </w:r>
      <w:r>
        <w:rPr>
          <w:rFonts w:ascii="仿宋_GB2312" w:hAnsi="宋体" w:eastAsia="仿宋_GB2312" w:cs="仿宋_GB2312"/>
          <w:color w:val="000000"/>
          <w:kern w:val="0"/>
          <w:sz w:val="31"/>
          <w:szCs w:val="31"/>
          <w:lang w:val="en-US" w:eastAsia="zh-CN" w:bidi="ar"/>
        </w:rPr>
        <w:t>月，全区规模以上工业经济继续保持良好发展态势</w:t>
      </w:r>
      <w:r>
        <w:rPr>
          <w:rFonts w:hint="eastAsia" w:ascii="仿宋_GB2312" w:hAnsi="宋体" w:eastAsia="仿宋_GB2312" w:cs="仿宋_GB2312"/>
          <w:color w:val="000000"/>
          <w:kern w:val="0"/>
          <w:sz w:val="31"/>
          <w:szCs w:val="31"/>
          <w:lang w:val="en-US" w:eastAsia="zh-CN" w:bidi="ar"/>
        </w:rPr>
        <w:t>。</w:t>
      </w:r>
    </w:p>
    <w:p w14:paraId="24F47A8E">
      <w:pPr>
        <w:keepNext w:val="0"/>
        <w:keepLines w:val="0"/>
        <w:widowControl/>
        <w:suppressLineNumbers w:val="0"/>
        <w:jc w:val="left"/>
      </w:pPr>
      <w:r>
        <w:rPr>
          <w:rFonts w:hint="eastAsia" w:ascii="仿宋_GB2312" w:hAnsi="宋体" w:eastAsia="仿宋_GB2312" w:cs="仿宋_GB2312"/>
          <w:color w:val="000000"/>
          <w:kern w:val="0"/>
          <w:sz w:val="31"/>
          <w:szCs w:val="31"/>
          <w:lang w:val="en-US" w:eastAsia="zh-CN" w:bidi="ar"/>
        </w:rPr>
        <w:t>规模以上工业增加值同比增长</w:t>
      </w:r>
      <w:r>
        <w:rPr>
          <w:rFonts w:hint="default" w:ascii="Times New Roman" w:hAnsi="Times New Roman" w:eastAsia="宋体" w:cs="Times New Roman"/>
          <w:color w:val="000000"/>
          <w:kern w:val="0"/>
          <w:sz w:val="31"/>
          <w:szCs w:val="31"/>
          <w:lang w:val="en-US" w:eastAsia="zh-CN" w:bidi="ar"/>
        </w:rPr>
        <w:t>11.1%</w:t>
      </w:r>
      <w:r>
        <w:rPr>
          <w:rFonts w:hint="eastAsia" w:ascii="仿宋_GB2312" w:hAnsi="宋体" w:eastAsia="仿宋_GB2312" w:cs="仿宋_GB2312"/>
          <w:color w:val="000000"/>
          <w:kern w:val="0"/>
          <w:sz w:val="31"/>
          <w:szCs w:val="31"/>
          <w:lang w:val="en-US" w:eastAsia="zh-CN" w:bidi="ar"/>
        </w:rPr>
        <w:t>，高于全省</w:t>
      </w:r>
      <w:r>
        <w:rPr>
          <w:rFonts w:hint="default" w:ascii="Times New Roman" w:hAnsi="Times New Roman" w:eastAsia="宋体" w:cs="Times New Roman"/>
          <w:color w:val="000000"/>
          <w:kern w:val="0"/>
          <w:sz w:val="31"/>
          <w:szCs w:val="31"/>
          <w:lang w:val="en-US" w:eastAsia="zh-CN" w:bidi="ar"/>
        </w:rPr>
        <w:t>2.7</w:t>
      </w:r>
      <w:r>
        <w:rPr>
          <w:rFonts w:hint="eastAsia" w:ascii="仿宋_GB2312" w:hAnsi="宋体" w:eastAsia="仿宋_GB2312" w:cs="仿宋_GB2312"/>
          <w:color w:val="000000"/>
          <w:kern w:val="0"/>
          <w:sz w:val="31"/>
          <w:szCs w:val="31"/>
          <w:lang w:val="en-US" w:eastAsia="zh-CN" w:bidi="ar"/>
        </w:rPr>
        <w:t>个百分点，高于全市</w:t>
      </w:r>
      <w:r>
        <w:rPr>
          <w:rFonts w:hint="default" w:ascii="Times New Roman" w:hAnsi="Times New Roman" w:eastAsia="宋体" w:cs="Times New Roman"/>
          <w:color w:val="000000"/>
          <w:kern w:val="0"/>
          <w:sz w:val="31"/>
          <w:szCs w:val="31"/>
          <w:lang w:val="en-US" w:eastAsia="zh-CN" w:bidi="ar"/>
        </w:rPr>
        <w:t>3.3</w:t>
      </w:r>
      <w:r>
        <w:rPr>
          <w:rFonts w:hint="eastAsia" w:ascii="仿宋_GB2312" w:hAnsi="宋体" w:eastAsia="仿宋_GB2312" w:cs="仿宋_GB2312"/>
          <w:color w:val="000000"/>
          <w:kern w:val="0"/>
          <w:sz w:val="31"/>
          <w:szCs w:val="31"/>
          <w:lang w:val="en-US" w:eastAsia="zh-CN" w:bidi="ar"/>
        </w:rPr>
        <w:t>个百分点，</w:t>
      </w:r>
      <w:r>
        <w:rPr>
          <w:rFonts w:hint="eastAsia" w:ascii="仿宋_GB2312" w:hAnsi="宋体" w:eastAsia="仿宋_GB2312" w:cs="仿宋_GB2312"/>
          <w:b/>
          <w:bCs/>
          <w:color w:val="000000"/>
          <w:kern w:val="0"/>
          <w:sz w:val="31"/>
          <w:szCs w:val="31"/>
          <w:lang w:val="en-US" w:eastAsia="zh-CN" w:bidi="ar"/>
        </w:rPr>
        <w:t>分门类看，</w:t>
      </w:r>
      <w:r>
        <w:rPr>
          <w:rFonts w:hint="eastAsia" w:ascii="仿宋_GB2312" w:hAnsi="宋体" w:eastAsia="仿宋_GB2312" w:cs="仿宋_GB2312"/>
          <w:color w:val="000000"/>
          <w:kern w:val="0"/>
          <w:sz w:val="31"/>
          <w:szCs w:val="31"/>
          <w:lang w:val="en-US" w:eastAsia="zh-CN" w:bidi="ar"/>
        </w:rPr>
        <w:t>制造业形成有力支撑，拉动全区工业增长</w:t>
      </w:r>
      <w:r>
        <w:rPr>
          <w:rFonts w:hint="default" w:ascii="Times New Roman" w:hAnsi="Times New Roman" w:eastAsia="宋体" w:cs="Times New Roman"/>
          <w:color w:val="000000"/>
          <w:kern w:val="0"/>
          <w:sz w:val="31"/>
          <w:szCs w:val="31"/>
          <w:lang w:val="en-US" w:eastAsia="zh-CN" w:bidi="ar"/>
        </w:rPr>
        <w:t>9.3</w:t>
      </w:r>
      <w:r>
        <w:rPr>
          <w:rFonts w:hint="eastAsia" w:ascii="仿宋_GB2312" w:hAnsi="宋体" w:eastAsia="仿宋_GB2312" w:cs="仿宋_GB2312"/>
          <w:color w:val="000000"/>
          <w:kern w:val="0"/>
          <w:sz w:val="31"/>
          <w:szCs w:val="31"/>
          <w:lang w:val="en-US" w:eastAsia="zh-CN" w:bidi="ar"/>
        </w:rPr>
        <w:t>个百分点，其中计算机通信和其他电子设备制造业增长</w:t>
      </w:r>
      <w:r>
        <w:rPr>
          <w:rFonts w:hint="default" w:ascii="Times New Roman" w:hAnsi="Times New Roman" w:eastAsia="宋体" w:cs="Times New Roman"/>
          <w:color w:val="000000"/>
          <w:kern w:val="0"/>
          <w:sz w:val="31"/>
          <w:szCs w:val="31"/>
          <w:lang w:val="en-US" w:eastAsia="zh-CN" w:bidi="ar"/>
        </w:rPr>
        <w:t>30.5%</w:t>
      </w:r>
      <w:r>
        <w:rPr>
          <w:rFonts w:hint="eastAsia" w:ascii="Times New Roman" w:hAnsi="Times New Roman" w:eastAsia="宋体" w:cs="Times New Roman"/>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医药制造业增长</w:t>
      </w:r>
      <w:r>
        <w:rPr>
          <w:rFonts w:hint="default" w:ascii="Times New Roman" w:hAnsi="Times New Roman" w:eastAsia="宋体" w:cs="Times New Roman"/>
          <w:color w:val="000000"/>
          <w:kern w:val="0"/>
          <w:sz w:val="31"/>
          <w:szCs w:val="31"/>
          <w:lang w:val="en-US" w:eastAsia="zh-CN" w:bidi="ar"/>
        </w:rPr>
        <w:t>13.2%</w:t>
      </w:r>
      <w:r>
        <w:rPr>
          <w:rFonts w:hint="eastAsia" w:ascii="仿宋_GB2312" w:hAnsi="宋体" w:eastAsia="仿宋_GB2312" w:cs="仿宋_GB2312"/>
          <w:color w:val="000000"/>
          <w:kern w:val="0"/>
          <w:sz w:val="31"/>
          <w:szCs w:val="31"/>
          <w:lang w:val="en-US" w:eastAsia="zh-CN" w:bidi="ar"/>
        </w:rPr>
        <w:t>，分别拉动全区工业增长</w:t>
      </w:r>
      <w:r>
        <w:rPr>
          <w:rFonts w:hint="default" w:ascii="Times New Roman" w:hAnsi="Times New Roman" w:eastAsia="宋体" w:cs="Times New Roman"/>
          <w:color w:val="000000"/>
          <w:kern w:val="0"/>
          <w:sz w:val="31"/>
          <w:szCs w:val="31"/>
          <w:lang w:val="en-US" w:eastAsia="zh-CN" w:bidi="ar"/>
        </w:rPr>
        <w:t>5.1</w:t>
      </w:r>
      <w:r>
        <w:rPr>
          <w:rFonts w:hint="eastAsia" w:ascii="仿宋_GB2312" w:hAnsi="宋体" w:eastAsia="仿宋_GB2312" w:cs="仿宋_GB2312"/>
          <w:color w:val="000000"/>
          <w:kern w:val="0"/>
          <w:sz w:val="31"/>
          <w:szCs w:val="31"/>
          <w:lang w:val="en-US" w:eastAsia="zh-CN" w:bidi="ar"/>
        </w:rPr>
        <w:t>个百分点、</w:t>
      </w:r>
      <w:r>
        <w:rPr>
          <w:rFonts w:hint="default" w:ascii="Times New Roman" w:hAnsi="Times New Roman" w:eastAsia="宋体" w:cs="Times New Roman"/>
          <w:color w:val="000000"/>
          <w:kern w:val="0"/>
          <w:sz w:val="31"/>
          <w:szCs w:val="31"/>
          <w:lang w:val="en-US" w:eastAsia="zh-CN" w:bidi="ar"/>
        </w:rPr>
        <w:t>2.1</w:t>
      </w:r>
      <w:r>
        <w:rPr>
          <w:rFonts w:hint="eastAsia" w:ascii="仿宋_GB2312" w:hAnsi="宋体" w:eastAsia="仿宋_GB2312" w:cs="仿宋_GB2312"/>
          <w:color w:val="000000"/>
          <w:kern w:val="0"/>
          <w:sz w:val="31"/>
          <w:szCs w:val="31"/>
          <w:lang w:val="en-US" w:eastAsia="zh-CN" w:bidi="ar"/>
        </w:rPr>
        <w:t>个百分点。电力、热力、燃气及水生产和供应业增长</w:t>
      </w:r>
      <w:r>
        <w:rPr>
          <w:rFonts w:hint="default" w:ascii="Times New Roman" w:hAnsi="Times New Roman" w:eastAsia="宋体" w:cs="Times New Roman"/>
          <w:color w:val="000000"/>
          <w:kern w:val="0"/>
          <w:sz w:val="31"/>
          <w:szCs w:val="31"/>
          <w:lang w:val="en-US" w:eastAsia="zh-CN" w:bidi="ar"/>
        </w:rPr>
        <w:t>7%</w:t>
      </w:r>
      <w:r>
        <w:rPr>
          <w:rFonts w:hint="eastAsia" w:ascii="仿宋_GB2312" w:hAnsi="宋体" w:eastAsia="仿宋_GB2312" w:cs="仿宋_GB2312"/>
          <w:color w:val="000000"/>
          <w:kern w:val="0"/>
          <w:sz w:val="31"/>
          <w:szCs w:val="31"/>
          <w:lang w:val="en-US" w:eastAsia="zh-CN" w:bidi="ar"/>
        </w:rPr>
        <w:t>，拉动全区工业增长</w:t>
      </w:r>
      <w:r>
        <w:rPr>
          <w:rFonts w:hint="default" w:ascii="Times New Roman" w:hAnsi="Times New Roman" w:eastAsia="宋体" w:cs="Times New Roman"/>
          <w:color w:val="000000"/>
          <w:kern w:val="0"/>
          <w:sz w:val="31"/>
          <w:szCs w:val="31"/>
          <w:lang w:val="en-US" w:eastAsia="zh-CN" w:bidi="ar"/>
        </w:rPr>
        <w:t>1.76</w:t>
      </w:r>
      <w:r>
        <w:rPr>
          <w:rFonts w:hint="eastAsia" w:ascii="仿宋_GB2312" w:hAnsi="宋体" w:eastAsia="仿宋_GB2312" w:cs="仿宋_GB2312"/>
          <w:color w:val="000000"/>
          <w:kern w:val="0"/>
          <w:sz w:val="31"/>
          <w:szCs w:val="31"/>
          <w:lang w:val="en-US" w:eastAsia="zh-CN" w:bidi="ar"/>
        </w:rPr>
        <w:t>个百分点。大中型企业带动明显，全区规上大中型企业增加值增长</w:t>
      </w:r>
      <w:r>
        <w:rPr>
          <w:rFonts w:hint="default" w:ascii="Times New Roman" w:hAnsi="Times New Roman" w:eastAsia="宋体" w:cs="Times New Roman"/>
          <w:color w:val="000000"/>
          <w:kern w:val="0"/>
          <w:sz w:val="31"/>
          <w:szCs w:val="31"/>
          <w:lang w:val="en-US" w:eastAsia="zh-CN" w:bidi="ar"/>
        </w:rPr>
        <w:t>16.6%</w:t>
      </w:r>
      <w:r>
        <w:rPr>
          <w:rFonts w:hint="eastAsia" w:ascii="仿宋_GB2312" w:hAnsi="宋体" w:eastAsia="仿宋_GB2312" w:cs="仿宋_GB2312"/>
          <w:color w:val="000000"/>
          <w:kern w:val="0"/>
          <w:sz w:val="31"/>
          <w:szCs w:val="31"/>
          <w:lang w:val="en-US" w:eastAsia="zh-CN" w:bidi="ar"/>
        </w:rPr>
        <w:t>，拉动全区工业增长</w:t>
      </w:r>
      <w:r>
        <w:rPr>
          <w:rFonts w:hint="default" w:ascii="Times New Roman" w:hAnsi="Times New Roman" w:eastAsia="宋体" w:cs="Times New Roman"/>
          <w:color w:val="000000"/>
          <w:kern w:val="0"/>
          <w:sz w:val="31"/>
          <w:szCs w:val="31"/>
          <w:lang w:val="en-US" w:eastAsia="zh-CN" w:bidi="ar"/>
        </w:rPr>
        <w:t>8.1</w:t>
      </w:r>
      <w:r>
        <w:rPr>
          <w:rFonts w:hint="eastAsia" w:ascii="仿宋_GB2312" w:hAnsi="宋体" w:eastAsia="仿宋_GB2312" w:cs="仿宋_GB2312"/>
          <w:color w:val="000000"/>
          <w:kern w:val="0"/>
          <w:sz w:val="31"/>
          <w:szCs w:val="31"/>
          <w:lang w:val="en-US" w:eastAsia="zh-CN" w:bidi="ar"/>
        </w:rPr>
        <w:t>个百分点。</w:t>
      </w:r>
    </w:p>
    <w:p w14:paraId="7023EBC7">
      <w:pPr>
        <w:keepNext w:val="0"/>
        <w:keepLines w:val="0"/>
        <w:widowControl/>
        <w:suppressLineNumbers w:val="0"/>
        <w:ind w:firstLine="643" w:firstLineChars="200"/>
        <w:jc w:val="left"/>
        <w:rPr>
          <w:rFonts w:hint="default" w:ascii="Times New Roman" w:hAnsi="Times New Roman" w:eastAsia="仿宋_GB2312" w:cs="仿宋_GB2312"/>
          <w:color w:val="000000"/>
          <w:sz w:val="32"/>
          <w:szCs w:val="32"/>
          <w:lang w:val="en-US" w:eastAsia="zh-CN"/>
          <w:woUserID w:val="6"/>
        </w:rPr>
      </w:pPr>
      <w:r>
        <w:rPr>
          <w:rFonts w:hint="eastAsia" w:ascii="黑体" w:hAnsi="黑体" w:eastAsia="仿宋_GB2312" w:cs="仿宋_GB2312"/>
          <w:b/>
          <w:bCs/>
          <w:color w:val="000000"/>
          <w:sz w:val="32"/>
          <w:szCs w:val="32"/>
          <w:lang w:val="en-US" w:eastAsia="zh-CN"/>
          <w:woUserID w:val="6"/>
        </w:rPr>
        <w:t>巩固措施：</w:t>
      </w:r>
      <w:r>
        <w:rPr>
          <w:rFonts w:ascii="仿宋_GB2312" w:hAnsi="宋体" w:eastAsia="仿宋_GB2312" w:cs="仿宋_GB2312"/>
          <w:b/>
          <w:bCs/>
          <w:color w:val="000000"/>
          <w:kern w:val="0"/>
          <w:sz w:val="31"/>
          <w:szCs w:val="31"/>
          <w:lang w:val="en-US" w:eastAsia="zh-CN" w:bidi="ar"/>
        </w:rPr>
        <w:t>一是</w:t>
      </w:r>
      <w:r>
        <w:rPr>
          <w:rFonts w:hint="eastAsia" w:ascii="仿宋_GB2312" w:hAnsi="宋体" w:eastAsia="仿宋_GB2312" w:cs="仿宋_GB2312"/>
          <w:color w:val="000000"/>
          <w:kern w:val="0"/>
          <w:sz w:val="31"/>
          <w:szCs w:val="31"/>
          <w:lang w:val="en-US" w:eastAsia="zh-CN" w:bidi="ar"/>
        </w:rPr>
        <w:t>强化存量培育与增量引进，破解入退库失衡及达标率偏低难题。一方面，区工信局要加大准规上企业培育力度，对临近达标标准的企业实施精准扶持，重点针对实际规模达标、发展态势向好的企业，引导其规范经营管理、完善纳税申报流程，推动尽早升规入库，充实规上工业企业队伍；另一方面，优化政务服务保障，规范执法监管行为，坚决杜绝对企业生产经营的不必要干扰，为存量达标企业稳定发展营造良好环境。</w:t>
      </w:r>
      <w:r>
        <w:rPr>
          <w:rFonts w:hint="eastAsia" w:ascii="仿宋_GB2312" w:hAnsi="宋体" w:eastAsia="仿宋_GB2312" w:cs="仿宋_GB2312"/>
          <w:b/>
          <w:bCs/>
          <w:color w:val="000000"/>
          <w:kern w:val="0"/>
          <w:sz w:val="31"/>
          <w:szCs w:val="31"/>
          <w:lang w:val="en-US" w:eastAsia="zh-CN" w:bidi="ar"/>
        </w:rPr>
        <w:t>二是</w:t>
      </w:r>
      <w:r>
        <w:rPr>
          <w:rFonts w:hint="eastAsia" w:ascii="仿宋_GB2312" w:hAnsi="宋体" w:eastAsia="仿宋_GB2312" w:cs="仿宋_GB2312"/>
          <w:color w:val="000000"/>
          <w:kern w:val="0"/>
          <w:sz w:val="31"/>
          <w:szCs w:val="31"/>
          <w:lang w:val="en-US" w:eastAsia="zh-CN" w:bidi="ar"/>
        </w:rPr>
        <w:t>聚焦战新产业提质增效，增强产业引领能力。重点扶持现存战新产业企业发展，建议区工信局建立负增长企业跟踪帮扶机制，针对企业发展短板制定差异化扶持政策，精准破解生产经营难题，推动负增长企业扭转发展态势。同时，持续强化战新产业培育，提升产业集聚度和核心竞争力，充分释放战新产业引领带动作用。</w:t>
      </w:r>
      <w:r>
        <w:rPr>
          <w:rFonts w:hint="eastAsia" w:ascii="仿宋_GB2312" w:hAnsi="宋体" w:eastAsia="仿宋_GB2312" w:cs="仿宋_GB2312"/>
          <w:b/>
          <w:bCs/>
          <w:color w:val="000000"/>
          <w:kern w:val="0"/>
          <w:sz w:val="31"/>
          <w:szCs w:val="31"/>
          <w:lang w:val="en-US" w:eastAsia="zh-CN" w:bidi="ar"/>
        </w:rPr>
        <w:t>三是</w:t>
      </w:r>
      <w:r>
        <w:rPr>
          <w:rFonts w:hint="eastAsia" w:ascii="仿宋_GB2312" w:hAnsi="宋体" w:eastAsia="仿宋_GB2312" w:cs="仿宋_GB2312"/>
          <w:color w:val="000000"/>
          <w:kern w:val="0"/>
          <w:sz w:val="31"/>
          <w:szCs w:val="31"/>
          <w:lang w:val="en-US" w:eastAsia="zh-CN" w:bidi="ar"/>
        </w:rPr>
        <w:t>规范数据管理，理顺营收与产值匹配关系。建立健全数据填报原始凭证管理制度，要求企业在填报数据时，同步留存生产台账、销售发票、出库单、财务报表等原始凭证，确保产值与营业收入数据逻辑对应、真实准确。常态化组织办事处、高新区及企业统计人员参加专业培训，提升统计业务素养，严格规范报表填报流程，切实夯实统计数据质量。</w:t>
      </w:r>
    </w:p>
    <w:p w14:paraId="03C75944">
      <w:pPr>
        <w:keepNext w:val="0"/>
        <w:keepLines w:val="0"/>
        <w:pageBreakBefore w:val="0"/>
        <w:widowControl/>
        <w:numPr>
          <w:ilvl w:val="0"/>
          <w:numId w:val="2"/>
        </w:numPr>
        <w:suppressLineNumbers w:val="0"/>
        <w:kinsoku/>
        <w:wordWrap/>
        <w:overflowPunct/>
        <w:topLinePunct w:val="0"/>
        <w:autoSpaceDE/>
        <w:autoSpaceDN/>
        <w:bidi w:val="0"/>
        <w:adjustRightInd/>
        <w:snapToGrid/>
        <w:spacing w:beforeAutospacing="0" w:afterAutospacing="0" w:line="660" w:lineRule="exact"/>
        <w:ind w:left="0" w:leftChars="0" w:firstLine="640" w:firstLineChars="200"/>
        <w:jc w:val="both"/>
        <w:textAlignment w:val="auto"/>
        <w:rPr>
          <w:rFonts w:hint="eastAsia" w:ascii="楷体" w:hAnsi="楷体" w:eastAsia="楷体"/>
          <w:color w:val="auto"/>
          <w:sz w:val="32"/>
          <w:szCs w:val="32"/>
          <w:lang w:val="en-US" w:eastAsia="zh-CN"/>
        </w:rPr>
      </w:pPr>
      <w:r>
        <w:rPr>
          <w:rFonts w:hint="eastAsia" w:ascii="楷体" w:hAnsi="楷体" w:eastAsia="楷体"/>
          <w:color w:val="auto"/>
          <w:sz w:val="32"/>
          <w:szCs w:val="32"/>
          <w:lang w:val="en-US" w:eastAsia="zh-CN"/>
        </w:rPr>
        <w:t>固定资产投资</w:t>
      </w:r>
    </w:p>
    <w:p w14:paraId="2965805E">
      <w:pPr>
        <w:keepNext w:val="0"/>
        <w:keepLines w:val="0"/>
        <w:widowControl/>
        <w:suppressLineNumbers w:val="0"/>
        <w:ind w:firstLine="620" w:firstLineChars="200"/>
        <w:jc w:val="left"/>
      </w:pPr>
      <w:r>
        <w:rPr>
          <w:rFonts w:ascii="仿宋_GB2312" w:hAnsi="宋体" w:eastAsia="仿宋_GB2312" w:cs="仿宋_GB2312"/>
          <w:color w:val="000000"/>
          <w:kern w:val="0"/>
          <w:sz w:val="31"/>
          <w:szCs w:val="31"/>
          <w:lang w:val="en-US" w:eastAsia="zh-CN" w:bidi="ar"/>
        </w:rPr>
        <w:t>全区固定资产投资持续下滑。</w:t>
      </w:r>
      <w:r>
        <w:rPr>
          <w:rFonts w:hint="default" w:ascii="Times New Roman" w:hAnsi="Times New Roman" w:eastAsia="宋体" w:cs="Times New Roman"/>
          <w:color w:val="000000"/>
          <w:kern w:val="0"/>
          <w:sz w:val="31"/>
          <w:szCs w:val="31"/>
          <w:lang w:val="en-US" w:eastAsia="zh-CN" w:bidi="ar"/>
        </w:rPr>
        <w:t>1-11</w:t>
      </w:r>
      <w:r>
        <w:rPr>
          <w:rFonts w:hint="eastAsia" w:ascii="仿宋_GB2312" w:hAnsi="宋体" w:eastAsia="仿宋_GB2312" w:cs="仿宋_GB2312"/>
          <w:color w:val="000000"/>
          <w:kern w:val="0"/>
          <w:sz w:val="31"/>
          <w:szCs w:val="31"/>
          <w:lang w:val="en-US" w:eastAsia="zh-CN" w:bidi="ar"/>
        </w:rPr>
        <w:t>月，全区固定资产投资额同比增长</w:t>
      </w:r>
      <w:r>
        <w:rPr>
          <w:rFonts w:hint="default" w:ascii="Times New Roman" w:hAnsi="Times New Roman" w:eastAsia="宋体" w:cs="Times New Roman"/>
          <w:color w:val="000000"/>
          <w:kern w:val="0"/>
          <w:sz w:val="31"/>
          <w:szCs w:val="31"/>
          <w:lang w:val="en-US" w:eastAsia="zh-CN" w:bidi="ar"/>
        </w:rPr>
        <w:t>2.3%</w:t>
      </w:r>
      <w:r>
        <w:rPr>
          <w:rFonts w:hint="eastAsia" w:ascii="仿宋_GB2312" w:hAnsi="宋体" w:eastAsia="仿宋_GB2312" w:cs="仿宋_GB2312"/>
          <w:color w:val="000000"/>
          <w:kern w:val="0"/>
          <w:sz w:val="31"/>
          <w:szCs w:val="31"/>
          <w:lang w:val="en-US" w:eastAsia="zh-CN" w:bidi="ar"/>
        </w:rPr>
        <w:t>，低于于全省</w:t>
      </w:r>
      <w:r>
        <w:rPr>
          <w:rFonts w:hint="default" w:ascii="Times New Roman" w:hAnsi="Times New Roman" w:eastAsia="宋体" w:cs="Times New Roman"/>
          <w:color w:val="000000"/>
          <w:kern w:val="0"/>
          <w:sz w:val="31"/>
          <w:szCs w:val="31"/>
          <w:lang w:val="en-US" w:eastAsia="zh-CN" w:bidi="ar"/>
        </w:rPr>
        <w:t>2</w:t>
      </w:r>
      <w:r>
        <w:rPr>
          <w:rFonts w:hint="eastAsia" w:ascii="仿宋_GB2312" w:hAnsi="宋体" w:eastAsia="仿宋_GB2312" w:cs="仿宋_GB2312"/>
          <w:color w:val="000000"/>
          <w:kern w:val="0"/>
          <w:sz w:val="31"/>
          <w:szCs w:val="31"/>
          <w:lang w:val="en-US" w:eastAsia="zh-CN" w:bidi="ar"/>
        </w:rPr>
        <w:t>个百分点，低于全市</w:t>
      </w:r>
      <w:r>
        <w:rPr>
          <w:rFonts w:hint="default" w:ascii="Times New Roman" w:hAnsi="Times New Roman" w:eastAsia="宋体" w:cs="Times New Roman"/>
          <w:color w:val="000000"/>
          <w:kern w:val="0"/>
          <w:sz w:val="31"/>
          <w:szCs w:val="31"/>
          <w:lang w:val="en-US" w:eastAsia="zh-CN" w:bidi="ar"/>
        </w:rPr>
        <w:t>2.2</w:t>
      </w:r>
      <w:r>
        <w:rPr>
          <w:rFonts w:hint="eastAsia" w:ascii="仿宋_GB2312" w:hAnsi="宋体" w:eastAsia="仿宋_GB2312" w:cs="仿宋_GB2312"/>
          <w:color w:val="000000"/>
          <w:kern w:val="0"/>
          <w:sz w:val="31"/>
          <w:szCs w:val="31"/>
          <w:lang w:val="en-US" w:eastAsia="zh-CN" w:bidi="ar"/>
        </w:rPr>
        <w:t>个百分点，其中，房地产开发投资额下降</w:t>
      </w:r>
      <w:r>
        <w:rPr>
          <w:rFonts w:hint="default" w:ascii="Times New Roman" w:hAnsi="Times New Roman" w:eastAsia="宋体" w:cs="Times New Roman"/>
          <w:color w:val="000000"/>
          <w:kern w:val="0"/>
          <w:sz w:val="31"/>
          <w:szCs w:val="31"/>
          <w:lang w:val="en-US" w:eastAsia="zh-CN" w:bidi="ar"/>
        </w:rPr>
        <w:t>7.5%</w:t>
      </w:r>
      <w:r>
        <w:rPr>
          <w:rFonts w:hint="eastAsia" w:ascii="仿宋_GB2312" w:hAnsi="宋体" w:eastAsia="仿宋_GB2312" w:cs="仿宋_GB2312"/>
          <w:color w:val="000000"/>
          <w:kern w:val="0"/>
          <w:sz w:val="31"/>
          <w:szCs w:val="31"/>
          <w:lang w:val="en-US" w:eastAsia="zh-CN" w:bidi="ar"/>
        </w:rPr>
        <w:t>，高于全市</w:t>
      </w:r>
      <w:r>
        <w:rPr>
          <w:rFonts w:hint="default" w:ascii="Times New Roman" w:hAnsi="Times New Roman" w:eastAsia="宋体" w:cs="Times New Roman"/>
          <w:color w:val="000000"/>
          <w:kern w:val="0"/>
          <w:sz w:val="31"/>
          <w:szCs w:val="31"/>
          <w:lang w:val="en-US" w:eastAsia="zh-CN" w:bidi="ar"/>
        </w:rPr>
        <w:t>2.9</w:t>
      </w:r>
      <w:r>
        <w:rPr>
          <w:rFonts w:hint="eastAsia" w:ascii="仿宋_GB2312" w:hAnsi="宋体" w:eastAsia="仿宋_GB2312" w:cs="仿宋_GB2312"/>
          <w:color w:val="000000"/>
          <w:kern w:val="0"/>
          <w:sz w:val="31"/>
          <w:szCs w:val="31"/>
          <w:lang w:val="en-US" w:eastAsia="zh-CN" w:bidi="ar"/>
        </w:rPr>
        <w:t>个百分点。</w:t>
      </w:r>
    </w:p>
    <w:p w14:paraId="29A0FA80">
      <w:pPr>
        <w:keepNext w:val="0"/>
        <w:keepLines w:val="0"/>
        <w:widowControl/>
        <w:suppressLineNumbers w:val="0"/>
        <w:ind w:firstLine="620" w:firstLineChars="200"/>
        <w:jc w:val="left"/>
      </w:pPr>
      <w:r>
        <w:rPr>
          <w:rFonts w:hint="eastAsia" w:ascii="楷体" w:hAnsi="楷体" w:eastAsia="楷体" w:cs="楷体"/>
          <w:color w:val="000000"/>
          <w:kern w:val="0"/>
          <w:sz w:val="31"/>
          <w:szCs w:val="31"/>
          <w:lang w:val="en-US" w:eastAsia="zh-CN" w:bidi="ar"/>
        </w:rPr>
        <w:t>提升措施：</w:t>
      </w:r>
      <w:r>
        <w:rPr>
          <w:rFonts w:hint="eastAsia" w:ascii="仿宋_GB2312" w:hAnsi="宋体" w:eastAsia="仿宋_GB2312" w:cs="仿宋_GB2312"/>
          <w:b/>
          <w:bCs/>
          <w:color w:val="000000"/>
          <w:kern w:val="0"/>
          <w:sz w:val="31"/>
          <w:szCs w:val="31"/>
          <w:lang w:val="en-US" w:eastAsia="zh-CN" w:bidi="ar"/>
        </w:rPr>
        <w:t>一是</w:t>
      </w:r>
      <w:r>
        <w:rPr>
          <w:rFonts w:hint="eastAsia" w:ascii="仿宋_GB2312" w:hAnsi="宋体" w:eastAsia="仿宋_GB2312" w:cs="仿宋_GB2312"/>
          <w:color w:val="000000"/>
          <w:kern w:val="0"/>
          <w:sz w:val="31"/>
          <w:szCs w:val="31"/>
          <w:lang w:val="en-US" w:eastAsia="zh-CN" w:bidi="ar"/>
        </w:rPr>
        <w:t>聚焦未入库项目攻坚，全力推进项目入库纳统。紧盯省市重点项目及政策性资金支持项目推进进度，重点针对中心城区西南片区排水除涝（</w:t>
      </w:r>
      <w:r>
        <w:rPr>
          <w:rFonts w:hint="default" w:ascii="Times New Roman" w:hAnsi="Times New Roman" w:eastAsia="宋体" w:cs="Times New Roman"/>
          <w:color w:val="000000"/>
          <w:kern w:val="0"/>
          <w:sz w:val="31"/>
          <w:szCs w:val="31"/>
          <w:lang w:val="en-US" w:eastAsia="zh-CN" w:bidi="ar"/>
        </w:rPr>
        <w:t>0.49</w:t>
      </w:r>
      <w:r>
        <w:rPr>
          <w:rFonts w:hint="eastAsia" w:ascii="仿宋_GB2312" w:hAnsi="宋体" w:eastAsia="仿宋_GB2312" w:cs="仿宋_GB2312"/>
          <w:color w:val="000000"/>
          <w:kern w:val="0"/>
          <w:sz w:val="31"/>
          <w:szCs w:val="31"/>
          <w:lang w:val="en-US" w:eastAsia="zh-CN" w:bidi="ar"/>
        </w:rPr>
        <w:t>亿元）、周口市第五高级中学新建项目（</w:t>
      </w:r>
      <w:r>
        <w:rPr>
          <w:rFonts w:hint="default" w:ascii="Times New Roman" w:hAnsi="Times New Roman" w:eastAsia="宋体" w:cs="Times New Roman"/>
          <w:color w:val="000000"/>
          <w:kern w:val="0"/>
          <w:sz w:val="31"/>
          <w:szCs w:val="31"/>
          <w:lang w:val="en-US" w:eastAsia="zh-CN" w:bidi="ar"/>
        </w:rPr>
        <w:t>1.04</w:t>
      </w:r>
      <w:r>
        <w:rPr>
          <w:rFonts w:hint="eastAsia" w:ascii="仿宋_GB2312" w:hAnsi="宋体" w:eastAsia="仿宋_GB2312" w:cs="仿宋_GB2312"/>
          <w:color w:val="000000"/>
          <w:kern w:val="0"/>
          <w:sz w:val="31"/>
          <w:szCs w:val="31"/>
          <w:lang w:val="en-US" w:eastAsia="zh-CN" w:bidi="ar"/>
        </w:rPr>
        <w:t>亿元）等</w:t>
      </w:r>
      <w:r>
        <w:rPr>
          <w:rFonts w:hint="default" w:ascii="Times New Roman" w:hAnsi="Times New Roman" w:eastAsia="宋体" w:cs="Times New Roman"/>
          <w:color w:val="000000"/>
          <w:kern w:val="0"/>
          <w:sz w:val="31"/>
          <w:szCs w:val="31"/>
          <w:lang w:val="en-US" w:eastAsia="zh-CN" w:bidi="ar"/>
        </w:rPr>
        <w:t>8</w:t>
      </w:r>
      <w:r>
        <w:rPr>
          <w:rFonts w:hint="eastAsia" w:ascii="仿宋_GB2312" w:hAnsi="宋体" w:eastAsia="仿宋_GB2312" w:cs="仿宋_GB2312"/>
          <w:color w:val="000000"/>
          <w:kern w:val="0"/>
          <w:sz w:val="31"/>
          <w:szCs w:val="31"/>
          <w:lang w:val="en-US" w:eastAsia="zh-CN" w:bidi="ar"/>
        </w:rPr>
        <w:t>个未入库项目，加强与行业主管部门、项目负责人的精准对接，实时协调解决合同缺失、施工照片不齐全等入库堵点问题，确保尽早完成入库手续。</w:t>
      </w:r>
      <w:r>
        <w:rPr>
          <w:rFonts w:hint="eastAsia" w:ascii="仿宋_GB2312" w:hAnsi="宋体" w:eastAsia="仿宋_GB2312" w:cs="仿宋_GB2312"/>
          <w:b/>
          <w:bCs/>
          <w:color w:val="000000"/>
          <w:kern w:val="0"/>
          <w:sz w:val="31"/>
          <w:szCs w:val="31"/>
          <w:lang w:val="en-US" w:eastAsia="zh-CN" w:bidi="ar"/>
        </w:rPr>
        <w:t>二是</w:t>
      </w:r>
      <w:r>
        <w:rPr>
          <w:rFonts w:hint="eastAsia" w:ascii="仿宋_GB2312" w:hAnsi="宋体" w:eastAsia="仿宋_GB2312" w:cs="仿宋_GB2312"/>
          <w:color w:val="000000"/>
          <w:kern w:val="0"/>
          <w:sz w:val="31"/>
          <w:szCs w:val="31"/>
          <w:lang w:val="en-US" w:eastAsia="zh-CN" w:bidi="ar"/>
        </w:rPr>
        <w:t>紧盯在库项目管理，提升数据填报质量。一方面，督促集中供暖、德高医药科技园等35个在库工业项目业主单位加强与施工方的沟通衔接，实时完善发票、工程量清单等数据上报所需佐证材料，确保投资完成额应报尽报、颗粒归仓；另一方面，针对凭证提供率偏低问题，强化对项目单位的指导督促，推动凭证提供率稳步提升，达到全市平均水平以上。</w:t>
      </w:r>
      <w:r>
        <w:rPr>
          <w:rFonts w:hint="eastAsia" w:ascii="仿宋_GB2312" w:hAnsi="宋体" w:eastAsia="仿宋_GB2312" w:cs="仿宋_GB2312"/>
          <w:b/>
          <w:bCs/>
          <w:color w:val="000000"/>
          <w:kern w:val="0"/>
          <w:sz w:val="31"/>
          <w:szCs w:val="31"/>
          <w:lang w:val="en-US" w:eastAsia="zh-CN" w:bidi="ar"/>
        </w:rPr>
        <w:t>三是</w:t>
      </w:r>
      <w:r>
        <w:rPr>
          <w:rFonts w:hint="eastAsia" w:ascii="仿宋_GB2312" w:hAnsi="宋体" w:eastAsia="仿宋_GB2312" w:cs="仿宋_GB2312"/>
          <w:color w:val="000000"/>
          <w:kern w:val="0"/>
          <w:sz w:val="31"/>
          <w:szCs w:val="31"/>
          <w:lang w:val="en-US" w:eastAsia="zh-CN" w:bidi="ar"/>
        </w:rPr>
        <w:t>深化部门协调联动，全力推动项目应入尽入。区发改委切实履行牵头抓总职责，联合各级行业主管部门建立</w:t>
      </w:r>
      <w:r>
        <w:rPr>
          <w:rFonts w:hint="eastAsia" w:ascii="宋体" w:hAnsi="宋体" w:eastAsia="宋体" w:cs="宋体"/>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一项目一研判</w:t>
      </w:r>
      <w:r>
        <w:rPr>
          <w:rFonts w:hint="eastAsia" w:ascii="宋体" w:hAnsi="宋体" w:eastAsia="宋体" w:cs="宋体"/>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工作机制，逐一对接在库项目与拟入库项目，深入剖析项目推进中的审批、建设、资料准备等环节堵点难点，协同推动问题解决；动态跟踪项目开工进度与入库资料筹备情况，全力实现</w:t>
      </w:r>
      <w:r>
        <w:rPr>
          <w:rFonts w:hint="eastAsia" w:ascii="宋体" w:hAnsi="宋体" w:eastAsia="宋体" w:cs="宋体"/>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项目早开工、开工即入库</w:t>
      </w:r>
      <w:r>
        <w:rPr>
          <w:rFonts w:hint="eastAsia" w:ascii="宋体" w:hAnsi="宋体" w:eastAsia="宋体" w:cs="宋体"/>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，确保项目及时纳入统计范畴，全面客观反映我区投资工作实际成效。</w:t>
      </w:r>
    </w:p>
    <w:p w14:paraId="600E8085">
      <w:pPr>
        <w:keepNext w:val="0"/>
        <w:keepLines w:val="0"/>
        <w:pageBreakBefore w:val="0"/>
        <w:widowControl w:val="0"/>
        <w:numPr>
          <w:ilvl w:val="0"/>
          <w:numId w:val="2"/>
        </w:numPr>
        <w:pBdr>
          <w:bottom w:val="single" w:color="FFFFFF" w:sz="4" w:space="31"/>
        </w:pBdr>
        <w:kinsoku/>
        <w:wordWrap/>
        <w:overflowPunct w:val="0"/>
        <w:topLinePunct w:val="0"/>
        <w:autoSpaceDE/>
        <w:autoSpaceDN/>
        <w:bidi w:val="0"/>
        <w:adjustRightInd w:val="0"/>
        <w:snapToGrid w:val="0"/>
        <w:spacing w:beforeAutospacing="0" w:afterAutospacing="0" w:line="660" w:lineRule="exact"/>
        <w:ind w:left="0" w:leftChars="0" w:firstLine="640" w:firstLineChars="200"/>
        <w:jc w:val="both"/>
        <w:textAlignment w:val="auto"/>
        <w:rPr>
          <w:rFonts w:hint="eastAsia" w:ascii="楷体" w:hAnsi="楷体" w:eastAsia="楷体" w:cs="楷体"/>
          <w:color w:val="auto"/>
          <w:sz w:val="32"/>
          <w:szCs w:val="32"/>
          <w:lang w:val="en-US" w:eastAsia="zh-CN"/>
        </w:rPr>
      </w:pPr>
      <w:r>
        <w:rPr>
          <w:rFonts w:hint="eastAsia" w:ascii="楷体" w:hAnsi="楷体" w:eastAsia="楷体" w:cs="楷体"/>
          <w:color w:val="auto"/>
          <w:sz w:val="32"/>
          <w:szCs w:val="32"/>
          <w:lang w:val="en-US" w:eastAsia="zh-CN"/>
        </w:rPr>
        <w:t>社会消费品零售总额</w:t>
      </w:r>
    </w:p>
    <w:p w14:paraId="5D09BBDD">
      <w:pPr>
        <w:keepNext w:val="0"/>
        <w:keepLines w:val="0"/>
        <w:pageBreakBefore w:val="0"/>
        <w:widowControl w:val="0"/>
        <w:numPr>
          <w:ilvl w:val="0"/>
          <w:numId w:val="0"/>
        </w:numPr>
        <w:pBdr>
          <w:bottom w:val="single" w:color="FFFFFF" w:sz="4" w:space="31"/>
        </w:pBdr>
        <w:kinsoku/>
        <w:wordWrap/>
        <w:overflowPunct w:val="0"/>
        <w:topLinePunct w:val="0"/>
        <w:autoSpaceDE/>
        <w:autoSpaceDN/>
        <w:bidi w:val="0"/>
        <w:adjustRightInd w:val="0"/>
        <w:snapToGrid w:val="0"/>
        <w:spacing w:beforeAutospacing="0" w:afterAutospacing="0" w:line="660" w:lineRule="exact"/>
        <w:ind w:firstLine="620" w:firstLineChars="200"/>
        <w:jc w:val="both"/>
        <w:textAlignment w:val="auto"/>
        <w:rPr>
          <w:rFonts w:hint="eastAsia" w:ascii="仿宋_GB2312" w:hAnsi="宋体" w:eastAsia="仿宋_GB2312" w:cs="仿宋_GB2312"/>
          <w:color w:val="000000"/>
          <w:kern w:val="0"/>
          <w:sz w:val="31"/>
          <w:szCs w:val="31"/>
          <w:lang w:val="en-US" w:eastAsia="zh-CN" w:bidi="ar"/>
        </w:rPr>
      </w:pPr>
      <w:r>
        <w:rPr>
          <w:rFonts w:hint="default" w:ascii="Times New Roman" w:hAnsi="Times New Roman" w:eastAsia="宋体" w:cs="Times New Roman"/>
          <w:color w:val="000000"/>
          <w:kern w:val="0"/>
          <w:sz w:val="31"/>
          <w:szCs w:val="31"/>
          <w:lang w:val="en-US" w:eastAsia="zh-CN" w:bidi="ar"/>
        </w:rPr>
        <w:t>1-11</w:t>
      </w:r>
      <w:r>
        <w:rPr>
          <w:rFonts w:ascii="仿宋_GB2312" w:hAnsi="宋体" w:eastAsia="仿宋_GB2312" w:cs="仿宋_GB2312"/>
          <w:color w:val="000000"/>
          <w:kern w:val="0"/>
          <w:sz w:val="31"/>
          <w:szCs w:val="31"/>
          <w:lang w:val="en-US" w:eastAsia="zh-CN" w:bidi="ar"/>
        </w:rPr>
        <w:t>月，社会消费品零售总额</w:t>
      </w:r>
      <w:r>
        <w:rPr>
          <w:rFonts w:hint="eastAsia" w:ascii="仿宋_GB2312" w:hAnsi="宋体" w:eastAsia="仿宋_GB2312" w:cs="仿宋_GB2312"/>
          <w:color w:val="000000"/>
          <w:kern w:val="0"/>
          <w:sz w:val="31"/>
          <w:szCs w:val="31"/>
          <w:lang w:val="en-US" w:eastAsia="zh-CN" w:bidi="ar"/>
        </w:rPr>
        <w:t>增速</w:t>
      </w:r>
      <w:r>
        <w:rPr>
          <w:rFonts w:hint="default" w:ascii="Times New Roman" w:hAnsi="Times New Roman" w:eastAsia="宋体" w:cs="Times New Roman"/>
          <w:color w:val="000000"/>
          <w:kern w:val="0"/>
          <w:sz w:val="31"/>
          <w:szCs w:val="31"/>
          <w:lang w:val="en-US" w:eastAsia="zh-CN" w:bidi="ar"/>
        </w:rPr>
        <w:t>6.7%</w:t>
      </w:r>
      <w:r>
        <w:rPr>
          <w:rFonts w:hint="eastAsia" w:ascii="仿宋_GB2312" w:hAnsi="宋体" w:eastAsia="仿宋_GB2312" w:cs="仿宋_GB2312"/>
          <w:color w:val="000000"/>
          <w:kern w:val="0"/>
          <w:sz w:val="31"/>
          <w:szCs w:val="31"/>
          <w:lang w:val="en-US" w:eastAsia="zh-CN" w:bidi="ar"/>
        </w:rPr>
        <w:t>，高于全省</w:t>
      </w:r>
      <w:r>
        <w:rPr>
          <w:rFonts w:hint="default" w:ascii="Times New Roman" w:hAnsi="Times New Roman" w:eastAsia="宋体" w:cs="Times New Roman"/>
          <w:color w:val="000000"/>
          <w:kern w:val="0"/>
          <w:sz w:val="31"/>
          <w:szCs w:val="31"/>
          <w:lang w:val="en-US" w:eastAsia="zh-CN" w:bidi="ar"/>
        </w:rPr>
        <w:t>0.9</w:t>
      </w:r>
      <w:r>
        <w:rPr>
          <w:rFonts w:hint="eastAsia" w:ascii="仿宋_GB2312" w:hAnsi="宋体" w:eastAsia="仿宋_GB2312" w:cs="仿宋_GB2312"/>
          <w:color w:val="000000"/>
          <w:kern w:val="0"/>
          <w:sz w:val="31"/>
          <w:szCs w:val="31"/>
          <w:lang w:val="en-US" w:eastAsia="zh-CN" w:bidi="ar"/>
        </w:rPr>
        <w:t>个百分点，高于全市</w:t>
      </w:r>
      <w:r>
        <w:rPr>
          <w:rFonts w:hint="default" w:ascii="Times New Roman" w:hAnsi="Times New Roman" w:eastAsia="宋体" w:cs="Times New Roman"/>
          <w:color w:val="000000"/>
          <w:kern w:val="0"/>
          <w:sz w:val="31"/>
          <w:szCs w:val="31"/>
          <w:lang w:val="en-US" w:eastAsia="zh-CN" w:bidi="ar"/>
        </w:rPr>
        <w:t>0.7</w:t>
      </w:r>
      <w:r>
        <w:rPr>
          <w:rFonts w:hint="eastAsia" w:ascii="仿宋_GB2312" w:hAnsi="宋体" w:eastAsia="仿宋_GB2312" w:cs="仿宋_GB2312"/>
          <w:color w:val="000000"/>
          <w:kern w:val="0"/>
          <w:sz w:val="31"/>
          <w:szCs w:val="31"/>
          <w:lang w:val="en-US" w:eastAsia="zh-CN" w:bidi="ar"/>
        </w:rPr>
        <w:t>个百分点，其中，限额以上社会消费品零售总额增速</w:t>
      </w:r>
      <w:r>
        <w:rPr>
          <w:rFonts w:hint="default" w:ascii="Times New Roman" w:hAnsi="Times New Roman" w:eastAsia="宋体" w:cs="Times New Roman"/>
          <w:color w:val="000000"/>
          <w:kern w:val="0"/>
          <w:sz w:val="31"/>
          <w:szCs w:val="31"/>
          <w:lang w:val="en-US" w:eastAsia="zh-CN" w:bidi="ar"/>
        </w:rPr>
        <w:t>17.4%</w:t>
      </w:r>
      <w:r>
        <w:rPr>
          <w:rFonts w:hint="eastAsia" w:ascii="仿宋_GB2312" w:hAnsi="宋体" w:eastAsia="仿宋_GB2312" w:cs="仿宋_GB2312"/>
          <w:color w:val="000000"/>
          <w:kern w:val="0"/>
          <w:sz w:val="31"/>
          <w:szCs w:val="31"/>
          <w:lang w:val="en-US" w:eastAsia="zh-CN" w:bidi="ar"/>
        </w:rPr>
        <w:t>。从商品销售情况来看，市场表现活跃，七成以上商品实现增长。</w:t>
      </w:r>
      <w:r>
        <w:rPr>
          <w:rFonts w:hint="default" w:ascii="Times New Roman" w:hAnsi="Times New Roman" w:eastAsia="宋体" w:cs="Times New Roman"/>
          <w:color w:val="000000"/>
          <w:kern w:val="0"/>
          <w:sz w:val="31"/>
          <w:szCs w:val="31"/>
          <w:lang w:val="en-US" w:eastAsia="zh-CN" w:bidi="ar"/>
        </w:rPr>
        <w:t>19</w:t>
      </w:r>
      <w:r>
        <w:rPr>
          <w:rFonts w:hint="eastAsia" w:ascii="仿宋_GB2312" w:hAnsi="宋体" w:eastAsia="仿宋_GB2312" w:cs="仿宋_GB2312"/>
          <w:color w:val="000000"/>
          <w:kern w:val="0"/>
          <w:sz w:val="31"/>
          <w:szCs w:val="31"/>
          <w:lang w:val="en-US" w:eastAsia="zh-CN" w:bidi="ar"/>
        </w:rPr>
        <w:t>类限额以上企业商品中有</w:t>
      </w:r>
      <w:r>
        <w:rPr>
          <w:rFonts w:hint="default" w:ascii="Times New Roman" w:hAnsi="Times New Roman" w:eastAsia="宋体" w:cs="Times New Roman"/>
          <w:color w:val="000000"/>
          <w:kern w:val="0"/>
          <w:sz w:val="31"/>
          <w:szCs w:val="31"/>
          <w:lang w:val="en-US" w:eastAsia="zh-CN" w:bidi="ar"/>
        </w:rPr>
        <w:t>14</w:t>
      </w:r>
      <w:r>
        <w:rPr>
          <w:rFonts w:hint="eastAsia" w:ascii="仿宋_GB2312" w:hAnsi="宋体" w:eastAsia="仿宋_GB2312" w:cs="仿宋_GB2312"/>
          <w:color w:val="000000"/>
          <w:kern w:val="0"/>
          <w:sz w:val="31"/>
          <w:szCs w:val="31"/>
          <w:lang w:val="en-US" w:eastAsia="zh-CN" w:bidi="ar"/>
        </w:rPr>
        <w:t>类商品零售额实现增长，增长面达</w:t>
      </w:r>
      <w:r>
        <w:rPr>
          <w:rFonts w:hint="default" w:ascii="Times New Roman" w:hAnsi="Times New Roman" w:eastAsia="宋体" w:cs="Times New Roman"/>
          <w:color w:val="000000"/>
          <w:kern w:val="0"/>
          <w:sz w:val="31"/>
          <w:szCs w:val="31"/>
          <w:lang w:val="en-US" w:eastAsia="zh-CN" w:bidi="ar"/>
        </w:rPr>
        <w:t>73.7%</w:t>
      </w:r>
      <w:r>
        <w:rPr>
          <w:rFonts w:hint="eastAsia" w:ascii="仿宋_GB2312" w:hAnsi="宋体" w:eastAsia="仿宋_GB2312" w:cs="仿宋_GB2312"/>
          <w:color w:val="000000"/>
          <w:kern w:val="0"/>
          <w:sz w:val="31"/>
          <w:szCs w:val="31"/>
          <w:lang w:val="en-US" w:eastAsia="zh-CN" w:bidi="ar"/>
        </w:rPr>
        <w:t>。其中，通讯器材类商品零售额增长高达</w:t>
      </w:r>
      <w:r>
        <w:rPr>
          <w:rFonts w:hint="default" w:ascii="Times New Roman" w:hAnsi="Times New Roman" w:eastAsia="宋体" w:cs="Times New Roman"/>
          <w:color w:val="000000"/>
          <w:kern w:val="0"/>
          <w:sz w:val="31"/>
          <w:szCs w:val="31"/>
          <w:lang w:val="en-US" w:eastAsia="zh-CN" w:bidi="ar"/>
        </w:rPr>
        <w:t>515.5%</w:t>
      </w:r>
      <w:r>
        <w:rPr>
          <w:rFonts w:hint="eastAsia" w:ascii="仿宋_GB2312" w:hAnsi="宋体" w:eastAsia="仿宋_GB2312" w:cs="仿宋_GB2312"/>
          <w:color w:val="000000"/>
          <w:kern w:val="0"/>
          <w:sz w:val="31"/>
          <w:szCs w:val="31"/>
          <w:lang w:val="en-US" w:eastAsia="zh-CN" w:bidi="ar"/>
        </w:rPr>
        <w:t>，家具类增长</w:t>
      </w:r>
      <w:r>
        <w:rPr>
          <w:rFonts w:hint="default" w:ascii="Times New Roman" w:hAnsi="Times New Roman" w:eastAsia="宋体" w:cs="Times New Roman"/>
          <w:color w:val="000000"/>
          <w:kern w:val="0"/>
          <w:sz w:val="31"/>
          <w:szCs w:val="31"/>
          <w:lang w:val="en-US" w:eastAsia="zh-CN" w:bidi="ar"/>
        </w:rPr>
        <w:t>16.7%</w:t>
      </w:r>
      <w:r>
        <w:rPr>
          <w:rFonts w:hint="eastAsia" w:ascii="仿宋_GB2312" w:hAnsi="宋体" w:eastAsia="仿宋_GB2312" w:cs="仿宋_GB2312"/>
          <w:color w:val="000000"/>
          <w:kern w:val="0"/>
          <w:sz w:val="31"/>
          <w:szCs w:val="31"/>
          <w:lang w:val="en-US" w:eastAsia="zh-CN" w:bidi="ar"/>
        </w:rPr>
        <w:t>。从商品类别角度分析，基本生活类商品增势较好。全区限上企业服装、鞋帽、针纺织品类和饮料类商品零售额分别增长</w:t>
      </w:r>
      <w:r>
        <w:rPr>
          <w:rFonts w:hint="default" w:ascii="Times New Roman" w:hAnsi="Times New Roman" w:eastAsia="宋体" w:cs="Times New Roman"/>
          <w:color w:val="000000"/>
          <w:kern w:val="0"/>
          <w:sz w:val="31"/>
          <w:szCs w:val="31"/>
          <w:lang w:val="en-US" w:eastAsia="zh-CN" w:bidi="ar"/>
        </w:rPr>
        <w:t>15.9%</w:t>
      </w:r>
      <w:r>
        <w:rPr>
          <w:rFonts w:hint="eastAsia" w:ascii="仿宋_GB2312" w:hAnsi="宋体" w:eastAsia="仿宋_GB2312" w:cs="仿宋_GB2312"/>
          <w:color w:val="000000"/>
          <w:kern w:val="0"/>
          <w:sz w:val="31"/>
          <w:szCs w:val="31"/>
          <w:lang w:val="en-US" w:eastAsia="zh-CN" w:bidi="ar"/>
        </w:rPr>
        <w:t>、</w:t>
      </w:r>
      <w:r>
        <w:rPr>
          <w:rFonts w:hint="default" w:ascii="Times New Roman" w:hAnsi="Times New Roman" w:eastAsia="宋体" w:cs="Times New Roman"/>
          <w:color w:val="000000"/>
          <w:kern w:val="0"/>
          <w:sz w:val="31"/>
          <w:szCs w:val="31"/>
          <w:lang w:val="en-US" w:eastAsia="zh-CN" w:bidi="ar"/>
        </w:rPr>
        <w:t>21.9%</w:t>
      </w:r>
      <w:r>
        <w:rPr>
          <w:rFonts w:hint="eastAsia" w:ascii="仿宋_GB2312" w:hAnsi="宋体" w:eastAsia="仿宋_GB2312" w:cs="仿宋_GB2312"/>
          <w:color w:val="000000"/>
          <w:kern w:val="0"/>
          <w:sz w:val="31"/>
          <w:szCs w:val="31"/>
          <w:lang w:val="en-US" w:eastAsia="zh-CN" w:bidi="ar"/>
        </w:rPr>
        <w:t>。此外，新型消费呈现蓬勃发展态势。限额以上企业新能源汽车零售额增长</w:t>
      </w:r>
      <w:r>
        <w:rPr>
          <w:rFonts w:hint="default" w:ascii="Times New Roman" w:hAnsi="Times New Roman" w:eastAsia="宋体" w:cs="Times New Roman"/>
          <w:color w:val="000000"/>
          <w:kern w:val="0"/>
          <w:sz w:val="31"/>
          <w:szCs w:val="31"/>
          <w:lang w:val="en-US" w:eastAsia="zh-CN" w:bidi="ar"/>
        </w:rPr>
        <w:t>31.8%</w:t>
      </w:r>
      <w:r>
        <w:rPr>
          <w:rFonts w:hint="eastAsia" w:ascii="仿宋_GB2312" w:hAnsi="宋体" w:eastAsia="仿宋_GB2312" w:cs="仿宋_GB2312"/>
          <w:color w:val="000000"/>
          <w:kern w:val="0"/>
          <w:sz w:val="31"/>
          <w:szCs w:val="31"/>
          <w:lang w:val="en-US" w:eastAsia="zh-CN" w:bidi="ar"/>
        </w:rPr>
        <w:t>。</w:t>
      </w:r>
    </w:p>
    <w:p w14:paraId="307F2435">
      <w:pPr>
        <w:keepNext w:val="0"/>
        <w:keepLines w:val="0"/>
        <w:pageBreakBefore w:val="0"/>
        <w:widowControl w:val="0"/>
        <w:numPr>
          <w:ilvl w:val="0"/>
          <w:numId w:val="0"/>
        </w:numPr>
        <w:pBdr>
          <w:bottom w:val="single" w:color="FFFFFF" w:sz="4" w:space="31"/>
        </w:pBdr>
        <w:kinsoku/>
        <w:wordWrap/>
        <w:overflowPunct w:val="0"/>
        <w:topLinePunct w:val="0"/>
        <w:autoSpaceDE/>
        <w:autoSpaceDN/>
        <w:bidi w:val="0"/>
        <w:adjustRightInd w:val="0"/>
        <w:snapToGrid w:val="0"/>
        <w:spacing w:beforeAutospacing="0" w:afterAutospacing="0" w:line="660" w:lineRule="exact"/>
        <w:ind w:firstLine="620" w:firstLineChars="200"/>
        <w:jc w:val="both"/>
        <w:textAlignment w:val="auto"/>
      </w:pPr>
      <w:r>
        <w:rPr>
          <w:rFonts w:hint="eastAsia" w:ascii="楷体" w:hAnsi="楷体" w:eastAsia="楷体" w:cs="楷体"/>
          <w:color w:val="000000"/>
          <w:kern w:val="0"/>
          <w:sz w:val="31"/>
          <w:szCs w:val="31"/>
          <w:lang w:val="en-US" w:eastAsia="zh-CN" w:bidi="ar"/>
        </w:rPr>
        <w:t>巩固措施：一</w:t>
      </w:r>
      <w:r>
        <w:rPr>
          <w:rFonts w:hint="eastAsia" w:ascii="仿宋_GB2312" w:hAnsi="宋体" w:eastAsia="仿宋_GB2312" w:cs="仿宋_GB2312"/>
          <w:b/>
          <w:bCs/>
          <w:color w:val="000000"/>
          <w:kern w:val="0"/>
          <w:sz w:val="31"/>
          <w:szCs w:val="31"/>
          <w:lang w:val="en-US" w:eastAsia="zh-CN" w:bidi="ar"/>
        </w:rPr>
        <w:t>是</w:t>
      </w:r>
      <w:r>
        <w:rPr>
          <w:rFonts w:hint="eastAsia" w:ascii="仿宋_GB2312" w:hAnsi="宋体" w:eastAsia="仿宋_GB2312" w:cs="仿宋_GB2312"/>
          <w:color w:val="000000"/>
          <w:kern w:val="0"/>
          <w:sz w:val="31"/>
          <w:szCs w:val="31"/>
          <w:lang w:val="en-US" w:eastAsia="zh-CN" w:bidi="ar"/>
        </w:rPr>
        <w:t>聚焦负增长企业精准帮扶。由区商务局牵头，重点跟踪各行业负增长企业，逐一对接企业剖析经营下滑根源，结合企业实际需求制定差异化帮扶措施，精准破解生产经营难题，助力企业扭转不利局面，推动销售额稳步回升。</w:t>
      </w:r>
      <w:r>
        <w:rPr>
          <w:rFonts w:hint="eastAsia" w:ascii="仿宋_GB2312" w:hAnsi="宋体" w:eastAsia="仿宋_GB2312" w:cs="仿宋_GB2312"/>
          <w:b/>
          <w:bCs/>
          <w:color w:val="000000"/>
          <w:kern w:val="0"/>
          <w:sz w:val="31"/>
          <w:szCs w:val="31"/>
          <w:lang w:val="en-US" w:eastAsia="zh-CN" w:bidi="ar"/>
        </w:rPr>
        <w:t>二是</w:t>
      </w:r>
      <w:r>
        <w:rPr>
          <w:rFonts w:hint="eastAsia" w:ascii="仿宋_GB2312" w:hAnsi="宋体" w:eastAsia="仿宋_GB2312" w:cs="仿宋_GB2312"/>
          <w:color w:val="000000"/>
          <w:kern w:val="0"/>
          <w:sz w:val="31"/>
          <w:szCs w:val="31"/>
          <w:lang w:val="en-US" w:eastAsia="zh-CN" w:bidi="ar"/>
        </w:rPr>
        <w:t>强化全链条管理夯实数据质量。联合行业主管部门、各办事处及高新区，一方面开展企业统计人员专项业务培训，深入解读统计政策、填报规范及数据佐证要求，提升企业统计工作规范性和配合度，从源头减少数据填报误差；另一方面常态化开展在库重点企业走访，在报表窗口期聚焦总量、增速异常企业实施重点监测预警，对国家、省、市抽中需提供凭证的企业严格核查，确保数据真实准确、数出有据。</w:t>
      </w:r>
      <w:r>
        <w:rPr>
          <w:rFonts w:hint="eastAsia" w:ascii="仿宋_GB2312" w:hAnsi="宋体" w:eastAsia="仿宋_GB2312" w:cs="仿宋_GB2312"/>
          <w:b/>
          <w:bCs/>
          <w:color w:val="000000"/>
          <w:kern w:val="0"/>
          <w:sz w:val="31"/>
          <w:szCs w:val="31"/>
          <w:lang w:val="en-US" w:eastAsia="zh-CN" w:bidi="ar"/>
        </w:rPr>
        <w:t>三是</w:t>
      </w:r>
      <w:r>
        <w:rPr>
          <w:rFonts w:hint="eastAsia" w:ascii="仿宋_GB2312" w:hAnsi="宋体" w:eastAsia="仿宋_GB2312" w:cs="仿宋_GB2312"/>
          <w:color w:val="000000"/>
          <w:kern w:val="0"/>
          <w:sz w:val="31"/>
          <w:szCs w:val="31"/>
          <w:lang w:val="en-US" w:eastAsia="zh-CN" w:bidi="ar"/>
        </w:rPr>
        <w:t>紧盯核心指标筑牢支撑基础。相关部门重点关注个人消费性贷款增速（人行牵头）、居民收入增速（国调队牵头）等影响社消零增速评估的核心指标，建立动态监测机制，加强部门协同推进，针对性提升指标表现，切实增强核心指标对社消零增速的支撑能力。</w:t>
      </w:r>
    </w:p>
    <w:p w14:paraId="3426254E">
      <w:pPr>
        <w:keepNext w:val="0"/>
        <w:keepLines w:val="0"/>
        <w:pageBreakBefore w:val="0"/>
        <w:widowControl w:val="0"/>
        <w:numPr>
          <w:ilvl w:val="0"/>
          <w:numId w:val="0"/>
        </w:numPr>
        <w:pBdr>
          <w:bottom w:val="single" w:color="FFFFFF" w:sz="4" w:space="31"/>
        </w:pBdr>
        <w:kinsoku/>
        <w:wordWrap/>
        <w:overflowPunct w:val="0"/>
        <w:topLinePunct w:val="0"/>
        <w:autoSpaceDE/>
        <w:autoSpaceDN/>
        <w:bidi w:val="0"/>
        <w:adjustRightInd w:val="0"/>
        <w:snapToGrid w:val="0"/>
        <w:spacing w:beforeAutospacing="0" w:afterAutospacing="0" w:line="660" w:lineRule="exact"/>
        <w:ind w:firstLine="640" w:firstLineChars="200"/>
        <w:jc w:val="both"/>
        <w:textAlignment w:val="auto"/>
        <w:rPr>
          <w:rFonts w:hint="eastAsia" w:ascii="楷体" w:hAnsi="楷体" w:eastAsia="楷体" w:cs="楷体"/>
          <w:color w:val="auto"/>
          <w:kern w:val="2"/>
          <w:sz w:val="32"/>
          <w:szCs w:val="32"/>
          <w:lang w:val="en-US" w:eastAsia="zh-CN" w:bidi="ar"/>
          <w:woUserID w:val="3"/>
        </w:rPr>
      </w:pPr>
      <w:r>
        <w:rPr>
          <w:rFonts w:hint="eastAsia" w:ascii="楷体" w:hAnsi="楷体" w:eastAsia="楷体" w:cs="楷体"/>
          <w:color w:val="auto"/>
          <w:sz w:val="32"/>
          <w:szCs w:val="32"/>
          <w:lang w:eastAsia="zh-CN"/>
        </w:rPr>
        <w:t>（</w:t>
      </w:r>
      <w:r>
        <w:rPr>
          <w:rFonts w:hint="eastAsia" w:ascii="楷体" w:hAnsi="楷体" w:eastAsia="楷体" w:cs="楷体"/>
          <w:color w:val="auto"/>
          <w:sz w:val="32"/>
          <w:szCs w:val="32"/>
          <w:lang w:val="en-US" w:eastAsia="zh-CN"/>
        </w:rPr>
        <w:t>五）</w:t>
      </w:r>
      <w:r>
        <w:rPr>
          <w:rFonts w:hint="eastAsia" w:ascii="楷体" w:hAnsi="楷体" w:eastAsia="楷体" w:cs="楷体"/>
          <w:color w:val="auto"/>
          <w:sz w:val="32"/>
          <w:szCs w:val="32"/>
        </w:rPr>
        <w:t>规模以上服务业</w:t>
      </w:r>
    </w:p>
    <w:p w14:paraId="470C6676">
      <w:pPr>
        <w:keepNext w:val="0"/>
        <w:keepLines w:val="0"/>
        <w:pageBreakBefore w:val="0"/>
        <w:widowControl w:val="0"/>
        <w:numPr>
          <w:ilvl w:val="0"/>
          <w:numId w:val="0"/>
        </w:numPr>
        <w:pBdr>
          <w:bottom w:val="single" w:color="FFFFFF" w:sz="4" w:space="31"/>
        </w:pBdr>
        <w:kinsoku/>
        <w:wordWrap/>
        <w:overflowPunct w:val="0"/>
        <w:topLinePunct w:val="0"/>
        <w:autoSpaceDE/>
        <w:autoSpaceDN/>
        <w:bidi w:val="0"/>
        <w:adjustRightInd w:val="0"/>
        <w:snapToGrid w:val="0"/>
        <w:spacing w:beforeAutospacing="0" w:afterAutospacing="0" w:line="660" w:lineRule="exact"/>
        <w:ind w:firstLine="640" w:firstLineChars="200"/>
        <w:jc w:val="both"/>
        <w:textAlignment w:val="auto"/>
        <w:rPr>
          <w:rFonts w:hint="eastAsia" w:ascii="Times New Roman" w:hAnsi="Times New Roman" w:eastAsia="仿宋_GB2312" w:cs="仿宋_GB2312"/>
          <w:color w:val="auto"/>
          <w:sz w:val="32"/>
          <w:szCs w:val="32"/>
          <w:highlight w:val="none"/>
          <w:lang w:val="en-US" w:eastAsia="zh-CN"/>
          <w:woUserID w:val="8"/>
        </w:rPr>
      </w:pPr>
      <w:r>
        <w:rPr>
          <w:rFonts w:hint="default" w:ascii="仿宋_GB2312" w:hAnsi="宋体" w:eastAsia="仿宋_GB2312" w:cs="仿宋_GB2312"/>
          <w:b w:val="0"/>
          <w:bCs w:val="0"/>
          <w:color w:val="000000"/>
          <w:kern w:val="2"/>
          <w:sz w:val="32"/>
          <w:szCs w:val="32"/>
          <w:woUserID w:val="1"/>
        </w:rPr>
        <w:t>服务业生产</w:t>
      </w:r>
      <w:r>
        <w:rPr>
          <w:rFonts w:hint="eastAsia" w:ascii="仿宋_GB2312" w:hAnsi="宋体" w:eastAsia="仿宋_GB2312" w:cs="仿宋_GB2312"/>
          <w:b w:val="0"/>
          <w:bCs w:val="0"/>
          <w:color w:val="000000"/>
          <w:kern w:val="2"/>
          <w:sz w:val="32"/>
          <w:szCs w:val="32"/>
          <w:lang w:val="en-US" w:eastAsia="zh-CN"/>
          <w:woUserID w:val="1"/>
        </w:rPr>
        <w:t>平稳，</w:t>
      </w:r>
      <w:r>
        <w:rPr>
          <w:rFonts w:hint="default" w:ascii="Times New Roman" w:hAnsi="Times New Roman" w:eastAsia="仿宋_GB2312" w:cs="仿宋_GB2312"/>
          <w:color w:val="auto"/>
          <w:sz w:val="32"/>
          <w:szCs w:val="32"/>
          <w:highlight w:val="none"/>
          <w:lang w:val="en-US" w:eastAsia="zh"/>
          <w:woUserID w:val="8"/>
        </w:rPr>
        <w:t>1-1</w:t>
      </w:r>
      <w:r>
        <w:rPr>
          <w:rFonts w:hint="eastAsia" w:ascii="Times New Roman" w:hAnsi="Times New Roman" w:eastAsia="仿宋_GB2312" w:cs="仿宋_GB2312"/>
          <w:color w:val="auto"/>
          <w:sz w:val="32"/>
          <w:szCs w:val="32"/>
          <w:highlight w:val="none"/>
          <w:lang w:val="en-US" w:eastAsia="zh-CN"/>
          <w:woUserID w:val="8"/>
        </w:rPr>
        <w:t>1</w:t>
      </w:r>
      <w:r>
        <w:rPr>
          <w:rFonts w:hint="default" w:ascii="Times New Roman" w:hAnsi="Times New Roman" w:eastAsia="仿宋_GB2312" w:cs="仿宋_GB2312"/>
          <w:color w:val="auto"/>
          <w:sz w:val="32"/>
          <w:szCs w:val="32"/>
          <w:highlight w:val="none"/>
          <w:lang w:val="en-US" w:eastAsia="zh"/>
          <w:woUserID w:val="8"/>
        </w:rPr>
        <w:t>月，</w:t>
      </w:r>
      <w:r>
        <w:rPr>
          <w:rFonts w:hint="eastAsia" w:ascii="仿宋_GB2312" w:hAnsi="仿宋_GB2312" w:eastAsia="仿宋_GB2312" w:cs="仿宋_GB2312"/>
          <w:color w:val="000000"/>
          <w:sz w:val="32"/>
          <w:szCs w:val="32"/>
          <w:lang w:val="en-US" w:eastAsia="zh"/>
          <w:woUserID w:val="2"/>
        </w:rPr>
        <w:t>居民服务、修理和其他</w:t>
      </w:r>
      <w:r>
        <w:rPr>
          <w:rFonts w:hint="eastAsia" w:ascii="仿宋_GB2312" w:hAnsi="仿宋_GB2312" w:eastAsia="仿宋_GB2312" w:cs="仿宋_GB2312"/>
          <w:color w:val="000000"/>
          <w:sz w:val="32"/>
          <w:szCs w:val="32"/>
          <w:lang w:val="en-US" w:eastAsia="zh-CN"/>
          <w:woUserID w:val="2"/>
        </w:rPr>
        <w:t>服务业营业收入增</w:t>
      </w:r>
      <w:r>
        <w:rPr>
          <w:rFonts w:hint="eastAsia" w:ascii="Times New Roman" w:hAnsi="Times New Roman" w:eastAsia="仿宋_GB2312" w:cs="仿宋_GB2312"/>
          <w:color w:val="auto"/>
          <w:sz w:val="32"/>
          <w:szCs w:val="32"/>
          <w:highlight w:val="none"/>
          <w:lang w:val="en-US" w:eastAsia="zh-CN"/>
          <w:woUserID w:val="8"/>
        </w:rPr>
        <w:t>长41.9%</w:t>
      </w:r>
      <w:r>
        <w:rPr>
          <w:rFonts w:hint="eastAsia" w:ascii="仿宋_GB2312" w:hAnsi="仿宋_GB2312" w:eastAsia="仿宋_GB2312" w:cs="仿宋_GB2312"/>
          <w:color w:val="000000"/>
          <w:sz w:val="32"/>
          <w:szCs w:val="32"/>
          <w:lang w:val="en-US" w:eastAsia="zh"/>
          <w:woUserID w:val="2"/>
        </w:rPr>
        <w:t>，</w:t>
      </w:r>
      <w:r>
        <w:rPr>
          <w:rFonts w:hint="eastAsia" w:ascii="仿宋_GB2312" w:hAnsi="仿宋_GB2312" w:eastAsia="仿宋_GB2312" w:cs="仿宋_GB2312"/>
          <w:color w:val="000000"/>
          <w:sz w:val="32"/>
          <w:szCs w:val="32"/>
          <w:lang w:val="en-US" w:eastAsia="zh-CN"/>
          <w:woUserID w:val="2"/>
        </w:rPr>
        <w:t>互联网相关服务业营</w:t>
      </w:r>
      <w:r>
        <w:rPr>
          <w:rFonts w:hint="eastAsia" w:ascii="Times New Roman" w:hAnsi="Times New Roman" w:eastAsia="仿宋_GB2312" w:cs="仿宋_GB2312"/>
          <w:color w:val="auto"/>
          <w:sz w:val="32"/>
          <w:szCs w:val="32"/>
          <w:highlight w:val="none"/>
          <w:lang w:val="en-US" w:eastAsia="zh-CN"/>
          <w:woUserID w:val="8"/>
        </w:rPr>
        <w:t>业收入增长25.8%，租赁和商务服务业营业收入增长49.7%，文化和娱乐业营业收入同比增长12.6%。</w:t>
      </w:r>
    </w:p>
    <w:p w14:paraId="2A7D37D7">
      <w:pPr>
        <w:keepNext w:val="0"/>
        <w:keepLines w:val="0"/>
        <w:pageBreakBefore w:val="0"/>
        <w:widowControl w:val="0"/>
        <w:numPr>
          <w:ilvl w:val="0"/>
          <w:numId w:val="0"/>
        </w:numPr>
        <w:pBdr>
          <w:bottom w:val="single" w:color="FFFFFF" w:sz="4" w:space="31"/>
        </w:pBdr>
        <w:kinsoku/>
        <w:wordWrap/>
        <w:overflowPunct w:val="0"/>
        <w:topLinePunct w:val="0"/>
        <w:autoSpaceDE/>
        <w:autoSpaceDN/>
        <w:bidi w:val="0"/>
        <w:adjustRightInd w:val="0"/>
        <w:snapToGrid w:val="0"/>
        <w:spacing w:beforeAutospacing="0" w:afterAutospacing="0" w:line="660" w:lineRule="exact"/>
        <w:ind w:firstLine="640" w:firstLineChars="200"/>
        <w:jc w:val="both"/>
        <w:textAlignment w:val="auto"/>
        <w:rPr>
          <w:rFonts w:hint="default" w:ascii="Times New Roman" w:hAnsi="Times New Roman" w:eastAsia="仿宋_GB2312" w:cs="仿宋_GB2312"/>
          <w:color w:val="auto"/>
          <w:sz w:val="32"/>
          <w:szCs w:val="32"/>
        </w:rPr>
      </w:pPr>
      <w:r>
        <w:rPr>
          <w:rFonts w:hint="eastAsia" w:ascii="楷体" w:hAnsi="楷体" w:eastAsia="楷体" w:cs="楷体"/>
          <w:b w:val="0"/>
          <w:bCs w:val="0"/>
          <w:color w:val="000000"/>
          <w:sz w:val="32"/>
          <w:szCs w:val="32"/>
          <w:lang w:val="en-US" w:eastAsia="zh-CN"/>
        </w:rPr>
        <w:t>巩固措施：</w:t>
      </w:r>
      <w:r>
        <w:rPr>
          <w:rFonts w:ascii="仿宋_GB2312" w:hAnsi="宋体" w:eastAsia="仿宋_GB2312" w:cs="仿宋_GB2312"/>
          <w:b/>
          <w:bCs/>
          <w:color w:val="000000"/>
          <w:kern w:val="0"/>
          <w:sz w:val="31"/>
          <w:szCs w:val="31"/>
          <w:lang w:val="en-US" w:eastAsia="zh-CN" w:bidi="ar"/>
        </w:rPr>
        <w:t>一是</w:t>
      </w:r>
      <w:r>
        <w:rPr>
          <w:rFonts w:hint="eastAsia" w:ascii="仿宋_GB2312" w:hAnsi="宋体" w:eastAsia="仿宋_GB2312" w:cs="仿宋_GB2312"/>
          <w:color w:val="000000"/>
          <w:kern w:val="0"/>
          <w:sz w:val="31"/>
          <w:szCs w:val="31"/>
          <w:lang w:val="en-US" w:eastAsia="zh-CN" w:bidi="ar"/>
        </w:rPr>
        <w:t>挖掘增量扩充“蓄水池”。各行业主管部门多渠道开展服务业企业摸排工作，精准筛选符合规上标准的企业</w:t>
      </w:r>
      <w:r>
        <w:rPr>
          <w:rFonts w:hint="eastAsia" w:ascii="Times New Roman" w:hAnsi="Times New Roman" w:eastAsia="仿宋_GB2312" w:cs="仿宋_GB2312"/>
          <w:color w:val="auto"/>
          <w:sz w:val="32"/>
          <w:szCs w:val="32"/>
          <w:lang w:val="en-US" w:eastAsia="zh"/>
        </w:rPr>
        <w:t>，</w:t>
      </w:r>
      <w:r>
        <w:rPr>
          <w:rFonts w:ascii="仿宋_GB2312" w:hAnsi="宋体" w:eastAsia="仿宋_GB2312" w:cs="仿宋_GB2312"/>
          <w:color w:val="000000"/>
          <w:kern w:val="0"/>
          <w:sz w:val="31"/>
          <w:szCs w:val="31"/>
          <w:lang w:val="en-US" w:eastAsia="zh-CN" w:bidi="ar"/>
        </w:rPr>
        <w:t>实施靶向培育</w:t>
      </w:r>
      <w:r>
        <w:rPr>
          <w:rFonts w:hint="eastAsia" w:ascii="Times New Roman" w:hAnsi="Times New Roman" w:eastAsia="仿宋_GB2312" w:cs="仿宋_GB2312"/>
          <w:color w:val="auto"/>
          <w:sz w:val="32"/>
          <w:szCs w:val="32"/>
          <w:lang w:val="en-US" w:eastAsia="zh-CN"/>
        </w:rPr>
        <w:t>；已与科技局对接，针对前期摸排的</w:t>
      </w:r>
      <w:r>
        <w:rPr>
          <w:rFonts w:hint="default" w:ascii="Times New Roman" w:hAnsi="Times New Roman" w:eastAsia="仿宋_GB2312" w:cs="仿宋_GB2312"/>
          <w:color w:val="auto"/>
          <w:sz w:val="32"/>
          <w:szCs w:val="32"/>
          <w:lang w:val="en-US" w:eastAsia="zh-CN"/>
        </w:rPr>
        <w:t>10</w:t>
      </w:r>
      <w:r>
        <w:rPr>
          <w:rFonts w:hint="eastAsia" w:ascii="Times New Roman" w:hAnsi="Times New Roman" w:eastAsia="仿宋_GB2312" w:cs="仿宋_GB2312"/>
          <w:color w:val="auto"/>
          <w:sz w:val="32"/>
          <w:szCs w:val="32"/>
          <w:lang w:val="en-US" w:eastAsia="zh-CN"/>
        </w:rPr>
        <w:t>家科学研究和技术服务业准规上企业，全力推入库资料收集工作，推动企业尽早入规纳统，充实服务业发展力量。</w:t>
      </w:r>
      <w:r>
        <w:rPr>
          <w:rFonts w:hint="eastAsia" w:ascii="Times New Roman" w:hAnsi="Times New Roman" w:eastAsia="仿宋_GB2312" w:cs="仿宋_GB2312"/>
          <w:b/>
          <w:bCs/>
          <w:color w:val="auto"/>
          <w:sz w:val="32"/>
          <w:szCs w:val="32"/>
          <w:lang w:val="en-US" w:eastAsia="zh-CN"/>
        </w:rPr>
        <w:t>二是</w:t>
      </w:r>
      <w:r>
        <w:rPr>
          <w:rFonts w:hint="eastAsia" w:ascii="Times New Roman" w:hAnsi="Times New Roman" w:eastAsia="仿宋_GB2312" w:cs="仿宋_GB2312"/>
          <w:color w:val="auto"/>
          <w:sz w:val="32"/>
          <w:szCs w:val="32"/>
          <w:lang w:val="en-US" w:eastAsia="zh-CN"/>
        </w:rPr>
        <w:t>稳企留存筑牢“基本盘”。针对企业流失问题各行业主管部门需主动靠前服务，充分发挥职能优势，对在库的</w:t>
      </w:r>
      <w:r>
        <w:rPr>
          <w:rFonts w:hint="default" w:ascii="Times New Roman" w:hAnsi="Times New Roman" w:eastAsia="仿宋_GB2312" w:cs="仿宋_GB2312"/>
          <w:color w:val="auto"/>
          <w:sz w:val="32"/>
          <w:szCs w:val="32"/>
          <w:lang w:val="en-US" w:eastAsia="zh-CN"/>
        </w:rPr>
        <w:t>21</w:t>
      </w:r>
      <w:r>
        <w:rPr>
          <w:rFonts w:hint="eastAsia" w:ascii="Times New Roman" w:hAnsi="Times New Roman" w:eastAsia="仿宋_GB2312" w:cs="仿宋_GB2312"/>
          <w:color w:val="auto"/>
          <w:sz w:val="32"/>
          <w:szCs w:val="32"/>
          <w:lang w:val="en-US" w:eastAsia="zh-CN"/>
        </w:rPr>
        <w:t>家负增长企业逐一开展排查，深入研判经营困境，通过政策精准扶持、要素保障强化等针对性举措，确保在库企业“留得住、稳发展、能壮大”，逐步培育成为支撑服务业增长的核心力量，缓解企业流失带来的增长压力。</w:t>
      </w:r>
    </w:p>
    <w:p w14:paraId="4629D96C">
      <w:pPr>
        <w:keepNext w:val="0"/>
        <w:keepLines w:val="0"/>
        <w:pageBreakBefore w:val="0"/>
        <w:pBdr>
          <w:bottom w:val="single" w:color="FFFFFF" w:sz="4" w:space="31"/>
        </w:pBdr>
        <w:kinsoku/>
        <w:wordWrap/>
        <w:overflowPunct w:val="0"/>
        <w:topLinePunct w:val="0"/>
        <w:autoSpaceDN/>
        <w:bidi w:val="0"/>
        <w:adjustRightInd w:val="0"/>
        <w:snapToGrid w:val="0"/>
        <w:spacing w:beforeAutospacing="0" w:afterAutospacing="0" w:line="660" w:lineRule="exact"/>
        <w:ind w:firstLine="640" w:firstLineChars="200"/>
        <w:jc w:val="both"/>
        <w:textAlignment w:val="auto"/>
        <w:rPr>
          <w:rFonts w:hint="eastAsia" w:ascii="Times New Roman" w:hAnsi="Times New Roman" w:eastAsia="仿宋_GB2312" w:cs="仿宋_GB2312"/>
          <w:b w:val="0"/>
          <w:bCs w:val="0"/>
          <w:color w:val="auto"/>
          <w:sz w:val="32"/>
          <w:szCs w:val="32"/>
          <w:lang w:val="en-US" w:eastAsia="zh"/>
        </w:rPr>
      </w:pPr>
      <w:r>
        <w:rPr>
          <w:rFonts w:hint="eastAsia" w:ascii="Times New Roman" w:hAnsi="Times New Roman" w:eastAsia="仿宋_GB2312" w:cs="仿宋_GB2312"/>
          <w:b w:val="0"/>
          <w:bCs w:val="0"/>
          <w:color w:val="auto"/>
          <w:sz w:val="32"/>
          <w:szCs w:val="32"/>
          <w:lang w:val="en-US" w:eastAsia="zh"/>
        </w:rPr>
        <w:t>总的来看，随着一系列政策措施接续发力，</w:t>
      </w:r>
      <w:r>
        <w:rPr>
          <w:rFonts w:hint="eastAsia" w:ascii="Times New Roman" w:hAnsi="Times New Roman" w:eastAsia="仿宋_GB2312" w:cs="仿宋_GB2312"/>
          <w:b w:val="0"/>
          <w:bCs w:val="0"/>
          <w:color w:val="auto"/>
          <w:sz w:val="32"/>
          <w:szCs w:val="32"/>
          <w:lang w:val="en-US" w:eastAsia="zh-CN"/>
        </w:rPr>
        <w:t>全</w:t>
      </w:r>
      <w:r>
        <w:rPr>
          <w:rFonts w:hint="eastAsia" w:ascii="Times New Roman" w:hAnsi="Times New Roman" w:eastAsia="仿宋_GB2312" w:cs="仿宋_GB2312"/>
          <w:b w:val="0"/>
          <w:bCs w:val="0"/>
          <w:color w:val="auto"/>
          <w:sz w:val="32"/>
          <w:szCs w:val="32"/>
          <w:lang w:val="en-US" w:eastAsia="zh"/>
        </w:rPr>
        <w:t>区经济运行总体平稳，延续稳中向好的发展态势，数字经济核心产业等优势领域增长势头良好。但也要看到，当前不稳定不确定因素较多，项目支撑不足、工业投资乏力等问题依然存在，经济持续向好基础仍需巩固。下阶段，川汇区将深入贯彻党的二十届四中全会、中央经济工作会议精神及习近平总书记在河南考察时重要讲话精神，牢牢把握市委“16232”总体工作思路，聚焦短板弱项精准施策、奋力攻坚，持续激发市场活力、挖掘发展潜能，着力巩固拓展经济高质量发展向好势头，为“十四五”圆满收官和“十五五”良好开局夯实基础。</w:t>
      </w:r>
    </w:p>
    <w:p w14:paraId="5C163478"/>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259C8CC"/>
    <w:multiLevelType w:val="singleLevel"/>
    <w:tmpl w:val="F259C8CC"/>
    <w:lvl w:ilvl="0" w:tentative="0">
      <w:start w:val="1"/>
      <w:numFmt w:val="chineseCounting"/>
      <w:suff w:val="nothing"/>
      <w:lvlText w:val="（%1）"/>
      <w:lvlJc w:val="left"/>
      <w:rPr>
        <w:rFonts w:hint="eastAsia"/>
      </w:rPr>
    </w:lvl>
  </w:abstractNum>
  <w:abstractNum w:abstractNumId="1">
    <w:nsid w:val="39FFE629"/>
    <w:multiLevelType w:val="singleLevel"/>
    <w:tmpl w:val="39FFE629"/>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78249F3"/>
    <w:rsid w:val="1F857228"/>
    <w:rsid w:val="278249F3"/>
    <w:rsid w:val="44DC5122"/>
    <w:rsid w:val="50D368E4"/>
    <w:rsid w:val="572B42CD"/>
    <w:rsid w:val="675C60D2"/>
    <w:rsid w:val="74455B5C"/>
    <w:rsid w:val="793B0674"/>
    <w:rsid w:val="7F5652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660" w:lineRule="exact"/>
      <w:ind w:firstLine="0" w:firstLineChars="0"/>
      <w:jc w:val="center"/>
      <w:outlineLvl w:val="0"/>
    </w:pPr>
    <w:rPr>
      <w:rFonts w:eastAsia="方正小标宋简体" w:asciiTheme="minorAscii" w:hAnsiTheme="minorAscii"/>
      <w:kern w:val="44"/>
      <w:sz w:val="36"/>
    </w:rPr>
  </w:style>
  <w:style w:type="paragraph" w:styleId="3">
    <w:name w:val="heading 3"/>
    <w:basedOn w:val="1"/>
    <w:next w:val="1"/>
    <w:semiHidden/>
    <w:unhideWhenUsed/>
    <w:qFormat/>
    <w:uiPriority w:val="0"/>
    <w:pPr>
      <w:keepNext/>
      <w:keepLines/>
      <w:spacing w:beforeLines="0" w:beforeAutospacing="0" w:afterLines="0" w:afterAutospacing="0" w:line="660" w:lineRule="exact"/>
      <w:ind w:firstLine="723" w:firstLineChars="200"/>
      <w:jc w:val="left"/>
      <w:outlineLvl w:val="2"/>
    </w:pPr>
    <w:rPr>
      <w:rFonts w:eastAsia="黑体" w:asciiTheme="minorAscii" w:hAnsiTheme="minorAscii"/>
      <w:sz w:val="32"/>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4">
    <w:name w:val="Body Text"/>
    <w:basedOn w:val="1"/>
    <w:next w:val="1"/>
    <w:qFormat/>
    <w:uiPriority w:val="0"/>
    <w:pPr>
      <w:spacing w:after="120"/>
    </w:pPr>
    <w:rPr>
      <w:szCs w:val="20"/>
    </w:rPr>
  </w:style>
  <w:style w:type="paragraph" w:styleId="5">
    <w:name w:val="Body Text Indent"/>
    <w:basedOn w:val="1"/>
    <w:next w:val="6"/>
    <w:qFormat/>
    <w:uiPriority w:val="0"/>
    <w:pPr>
      <w:ind w:firstLine="425"/>
    </w:pPr>
    <w:rPr>
      <w:sz w:val="28"/>
    </w:rPr>
  </w:style>
  <w:style w:type="paragraph" w:styleId="6">
    <w:name w:val="Body Text Indent 2"/>
    <w:next w:val="1"/>
    <w:qFormat/>
    <w:uiPriority w:val="0"/>
    <w:pPr>
      <w:widowControl w:val="0"/>
      <w:spacing w:line="474" w:lineRule="exact"/>
      <w:ind w:firstLine="645"/>
      <w:jc w:val="both"/>
    </w:pPr>
    <w:rPr>
      <w:rFonts w:ascii="Calibri" w:hAnsi="Calibri" w:eastAsia="宋体" w:cs="Times New Roman"/>
      <w:spacing w:val="10"/>
      <w:kern w:val="2"/>
      <w:sz w:val="28"/>
      <w:szCs w:val="22"/>
      <w:lang w:val="en-US" w:eastAsia="zh-CN" w:bidi="ar-SA"/>
    </w:rPr>
  </w:style>
  <w:style w:type="paragraph" w:styleId="7">
    <w:name w:val="Body Text First Indent"/>
    <w:basedOn w:val="4"/>
    <w:next w:val="8"/>
    <w:qFormat/>
    <w:uiPriority w:val="0"/>
    <w:pPr>
      <w:ind w:firstLine="420" w:firstLineChars="100"/>
    </w:pPr>
    <w:rPr>
      <w:szCs w:val="24"/>
    </w:rPr>
  </w:style>
  <w:style w:type="paragraph" w:styleId="8">
    <w:name w:val="Body Text First Indent 2"/>
    <w:basedOn w:val="5"/>
    <w:next w:val="7"/>
    <w:qFormat/>
    <w:uiPriority w:val="0"/>
    <w:pPr>
      <w:ind w:firstLine="420" w:firstLineChars="200"/>
    </w:pPr>
  </w:style>
  <w:style w:type="table" w:styleId="10">
    <w:name w:val="Table Grid"/>
    <w:basedOn w:val="9"/>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2977</Words>
  <Characters>3151</Characters>
  <Lines>0</Lines>
  <Paragraphs>0</Paragraphs>
  <TotalTime>24</TotalTime>
  <ScaleCrop>false</ScaleCrop>
  <LinksUpToDate>false</LinksUpToDate>
  <CharactersWithSpaces>3161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2026-01-15T03:01:00Z</dcterms:created>
  <dc:creator>我爱路人甲</dc:creator>
  <cp:lastModifiedBy>我爱路人甲</cp:lastModifiedBy>
  <dcterms:modified xsi:type="dcterms:W3CDTF">2026-01-15T03:30:10Z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1DB26085C31843A1A3BF5503965A3BEA_13</vt:lpwstr>
  </property>
  <property fmtid="{D5CDD505-2E9C-101B-9397-08002B2CF9AE}" pid="4" name="KSOTemplateDocerSaveRecord">
    <vt:lpwstr>eyJoZGlkIjoiNTZhNDNmY2M2MzMwZTRmNmE4NjIyM2I4ZDUzNGZiOGIiLCJ1c2VySWQiOiI2NjM2MTc2MzAifQ==</vt:lpwstr>
  </property>
</Properties>
</file>