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val="en-US" w:eastAsia="zh-CN"/>
        </w:rPr>
        <w:t>一、行政强制的通用前提条件</w:t>
      </w:r>
    </w:p>
    <w:p>
      <w:pPr>
        <w:ind w:firstLine="642" w:firstLineChars="200"/>
        <w:rPr>
          <w:rFonts w:hint="eastAsia" w:ascii="仿宋" w:hAnsi="仿宋" w:eastAsia="仿宋" w:cs="仿宋"/>
          <w:sz w:val="32"/>
          <w:szCs w:val="32"/>
        </w:rPr>
      </w:pPr>
      <w:r>
        <w:rPr>
          <w:rFonts w:hint="eastAsia" w:ascii="仿宋" w:hAnsi="仿宋" w:eastAsia="仿宋" w:cs="仿宋"/>
          <w:b/>
          <w:bCs/>
          <w:sz w:val="32"/>
          <w:szCs w:val="32"/>
        </w:rPr>
        <w:t>主体合法：</w:t>
      </w:r>
      <w:r>
        <w:rPr>
          <w:rFonts w:hint="eastAsia" w:ascii="仿宋" w:hAnsi="仿宋" w:eastAsia="仿宋" w:cs="仿宋"/>
          <w:sz w:val="32"/>
          <w:szCs w:val="32"/>
        </w:rPr>
        <w:t>实施机关为县级以上人民政府生态环境主管部门或其他负有环保监管职责的部门（如集中行使处罚权的综合执法部门），无执法权机关需申请法院强制执行。​</w:t>
      </w:r>
    </w:p>
    <w:p>
      <w:pPr>
        <w:ind w:firstLine="642" w:firstLineChars="200"/>
        <w:rPr>
          <w:rFonts w:hint="eastAsia" w:ascii="仿宋" w:hAnsi="仿宋" w:eastAsia="仿宋" w:cs="仿宋"/>
          <w:sz w:val="32"/>
          <w:szCs w:val="32"/>
        </w:rPr>
      </w:pPr>
      <w:r>
        <w:rPr>
          <w:rFonts w:hint="eastAsia" w:ascii="仿宋" w:hAnsi="仿宋" w:eastAsia="仿宋" w:cs="仿宋"/>
          <w:b/>
          <w:bCs/>
          <w:sz w:val="32"/>
          <w:szCs w:val="32"/>
        </w:rPr>
        <w:t>依据明确：</w:t>
      </w:r>
      <w:r>
        <w:rPr>
          <w:rFonts w:hint="eastAsia" w:ascii="仿宋" w:hAnsi="仿宋" w:eastAsia="仿宋" w:cs="仿宋"/>
          <w:sz w:val="32"/>
          <w:szCs w:val="32"/>
        </w:rPr>
        <w:t>严格遵循《行政强制法》《环境保护法》《大气污染防治法》《水污染防治法》等法律法规的具体规定，不得超出法定权限设定或实施强制。​</w:t>
      </w:r>
    </w:p>
    <w:p>
      <w:pPr>
        <w:ind w:firstLine="642" w:firstLineChars="200"/>
        <w:rPr>
          <w:rFonts w:hint="eastAsia" w:ascii="仿宋" w:hAnsi="仿宋" w:eastAsia="仿宋" w:cs="仿宋"/>
          <w:sz w:val="32"/>
          <w:szCs w:val="32"/>
        </w:rPr>
      </w:pPr>
      <w:r>
        <w:rPr>
          <w:rFonts w:hint="eastAsia" w:ascii="仿宋" w:hAnsi="仿宋" w:eastAsia="仿宋" w:cs="仿宋"/>
          <w:b/>
          <w:bCs/>
          <w:sz w:val="32"/>
          <w:szCs w:val="32"/>
        </w:rPr>
        <w:t>程序合规：</w:t>
      </w:r>
      <w:r>
        <w:rPr>
          <w:rFonts w:hint="eastAsia" w:ascii="仿宋" w:hAnsi="仿宋" w:eastAsia="仿宋" w:cs="仿宋"/>
          <w:sz w:val="32"/>
          <w:szCs w:val="32"/>
        </w:rPr>
        <w:t>履行告知、催告、听取陈述申辩等法定程序，紧急情况需事后补正手续（如先查封后 7 日内补办审批）。</w:t>
      </w:r>
    </w:p>
    <w:p>
      <w:pPr>
        <w:ind w:firstLine="642" w:firstLineChars="200"/>
        <w:rPr>
          <w:rFonts w:hint="eastAsia" w:ascii="仿宋" w:hAnsi="仿宋" w:eastAsia="仿宋" w:cs="仿宋"/>
          <w:sz w:val="32"/>
          <w:szCs w:val="32"/>
        </w:rPr>
      </w:pPr>
      <w:r>
        <w:rPr>
          <w:rFonts w:hint="eastAsia" w:ascii="仿宋" w:hAnsi="仿宋" w:eastAsia="仿宋" w:cs="仿宋"/>
          <w:b/>
          <w:bCs/>
          <w:sz w:val="32"/>
          <w:szCs w:val="32"/>
        </w:rPr>
        <w:t>比例适当：</w:t>
      </w:r>
      <w:r>
        <w:rPr>
          <w:rFonts w:hint="eastAsia" w:ascii="仿宋" w:hAnsi="仿宋" w:eastAsia="仿宋" w:cs="仿宋"/>
          <w:sz w:val="32"/>
          <w:szCs w:val="32"/>
        </w:rPr>
        <w:t>选择对当事人权益损害最小的强制方式，不得超过制止违法、消除污染的必要限度（如仅需扣押排污设备则不查封整厂）。​</w:t>
      </w:r>
    </w:p>
    <w:p>
      <w:pPr>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val="en-US" w:eastAsia="zh-CN"/>
        </w:rPr>
        <w:t>二、行政强制措施（查封、扣押等）的具体适用条件​</w:t>
      </w:r>
    </w:p>
    <w:p>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行政强制措施是为制止违法行为、防止证据灭失、控制污染扩大等紧急情形采取的临时性控制措施，核心条件如下：</w:t>
      </w:r>
    </w:p>
    <w:p>
      <w:pPr>
        <w:ind w:firstLine="640" w:firstLineChars="200"/>
        <w:rPr>
          <w:rFonts w:hint="eastAsia" w:ascii="方正楷体_GBK" w:hAnsi="方正楷体_GBK" w:eastAsia="方正楷体_GBK" w:cs="方正楷体_GBK"/>
          <w:sz w:val="32"/>
          <w:szCs w:val="32"/>
        </w:rPr>
      </w:pPr>
      <w:r>
        <w:rPr>
          <w:rFonts w:hint="eastAsia" w:ascii="方正楷体_GBK" w:hAnsi="方正楷体_GBK" w:eastAsia="方正楷体_GBK" w:cs="方正楷体_GBK"/>
          <w:sz w:val="32"/>
          <w:szCs w:val="32"/>
          <w:lang w:val="en-US" w:eastAsia="zh-CN"/>
        </w:rPr>
        <w:t>（一）通用条件​</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当事人存在违法排放污染物的客观事实（经初步调查取证确认，如现场监测数据超标、未批先建等）；​</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已形成初步证据链（如现场笔录、照片、监测报告等），不得在无证据情况下实施强制；​</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符合法定强制对象范围（仅限与违法行为直接相关的设施、设备、物品，不得查封扣押无关财物）。​</w:t>
      </w:r>
    </w:p>
    <w:p>
      <w:pPr>
        <w:ind w:firstLine="640" w:firstLineChars="200"/>
        <w:rPr>
          <w:rFonts w:hint="eastAsia" w:ascii="仿宋" w:hAnsi="仿宋" w:eastAsia="仿宋" w:cs="仿宋"/>
          <w:sz w:val="32"/>
          <w:szCs w:val="32"/>
        </w:rPr>
      </w:pPr>
      <w:r>
        <w:rPr>
          <w:rFonts w:hint="eastAsia" w:ascii="方正楷体_GBK" w:hAnsi="方正楷体_GBK" w:eastAsia="方正楷体_GBK" w:cs="方正楷体_GBK"/>
          <w:sz w:val="32"/>
          <w:szCs w:val="32"/>
          <w:lang w:val="en-US" w:eastAsia="zh-CN"/>
        </w:rPr>
        <w:t>（二）分场景具体条件</w:t>
      </w:r>
      <w:r>
        <w:rPr>
          <w:rFonts w:hint="eastAsia" w:ascii="仿宋" w:hAnsi="仿宋" w:eastAsia="仿宋" w:cs="仿宋"/>
          <w:sz w:val="32"/>
          <w:szCs w:val="32"/>
          <w:lang w:val="en-US" w:eastAsia="zh-CN"/>
        </w:rPr>
        <w:t>​</w:t>
      </w:r>
      <w:bookmarkStart w:id="0" w:name="_GoBack"/>
      <w:bookmarkEnd w:id="0"/>
    </w:p>
    <w:p>
      <w:pPr>
        <w:rPr>
          <w:rFonts w:hint="eastAsia" w:ascii="仿宋" w:hAnsi="仿宋" w:eastAsia="仿宋" w:cs="仿宋"/>
          <w:sz w:val="32"/>
          <w:szCs w:val="32"/>
        </w:rPr>
      </w:pPr>
      <w:r>
        <w:rPr>
          <w:rFonts w:hint="eastAsia" w:ascii="仿宋" w:hAnsi="仿宋" w:eastAsia="仿宋" w:cs="仿宋"/>
          <w:sz w:val="32"/>
          <w:szCs w:val="32"/>
          <w:lang w:val="en-US" w:eastAsia="zh-CN"/>
        </w:rPr>
        <w:t>​</w:t>
      </w:r>
    </w:p>
    <w:tbl>
      <w:tblPr>
        <w:tblStyle w:val="2"/>
        <w:tblW w:w="839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15" w:type="dxa"/>
          <w:left w:w="15" w:type="dxa"/>
          <w:bottom w:w="15" w:type="dxa"/>
          <w:right w:w="15" w:type="dxa"/>
        </w:tblCellMar>
      </w:tblPr>
      <w:tblGrid>
        <w:gridCol w:w="693"/>
        <w:gridCol w:w="1200"/>
        <w:gridCol w:w="3234"/>
        <w:gridCol w:w="32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00" w:hRule="atLeast"/>
        </w:trPr>
        <w:tc>
          <w:tcPr>
            <w:tcW w:w="693" w:type="dxa"/>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强制类型​</w:t>
            </w:r>
          </w:p>
        </w:tc>
        <w:tc>
          <w:tcPr>
            <w:tcW w:w="1200" w:type="dxa"/>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适用场景​</w:t>
            </w:r>
          </w:p>
        </w:tc>
        <w:tc>
          <w:tcPr>
            <w:tcW w:w="3234" w:type="dxa"/>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核心条件​</w:t>
            </w:r>
          </w:p>
        </w:tc>
        <w:tc>
          <w:tcPr>
            <w:tcW w:w="3266" w:type="dxa"/>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法律依据​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00" w:hRule="atLeast"/>
        </w:trPr>
        <w:tc>
          <w:tcPr>
            <w:tcW w:w="693" w:type="dxa"/>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查封 / 扣押排污设施、设备​</w:t>
            </w:r>
          </w:p>
        </w:tc>
        <w:tc>
          <w:tcPr>
            <w:tcW w:w="1200" w:type="dxa"/>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大气污染类​</w:t>
            </w:r>
          </w:p>
        </w:tc>
        <w:tc>
          <w:tcPr>
            <w:tcW w:w="3234" w:type="dxa"/>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1. 违法排放大气污染物；2. 造成或可能造成严重大气污染；3. 证据可能灭失 / 隐匿​</w:t>
            </w:r>
          </w:p>
        </w:tc>
        <w:tc>
          <w:tcPr>
            <w:tcW w:w="3266" w:type="dxa"/>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《大气污染防治法》第三十条​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00" w:hRule="atLeast"/>
        </w:trPr>
        <w:tc>
          <w:tcPr>
            <w:tcW w:w="693" w:type="dxa"/>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查封 / 扣押排污设施、设备​</w:t>
            </w:r>
          </w:p>
        </w:tc>
        <w:tc>
          <w:tcPr>
            <w:tcW w:w="1200" w:type="dxa"/>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综合污染类​</w:t>
            </w:r>
          </w:p>
        </w:tc>
        <w:tc>
          <w:tcPr>
            <w:tcW w:w="3234" w:type="dxa"/>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1. 违反法律法规排放污染物；2. 造成或可能造成严重污染（如超标 3 倍以上、影响饮用水源等）​</w:t>
            </w:r>
          </w:p>
        </w:tc>
        <w:tc>
          <w:tcPr>
            <w:tcW w:w="3266" w:type="dxa"/>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《环境保护法》第二十五条​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00" w:hRule="atLeast"/>
        </w:trPr>
        <w:tc>
          <w:tcPr>
            <w:tcW w:w="693" w:type="dxa"/>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查封 / 扣押涉案物品​</w:t>
            </w:r>
          </w:p>
        </w:tc>
        <w:tc>
          <w:tcPr>
            <w:tcW w:w="1200" w:type="dxa"/>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消耗臭氧层物质类​</w:t>
            </w:r>
          </w:p>
        </w:tc>
        <w:tc>
          <w:tcPr>
            <w:tcW w:w="3234" w:type="dxa"/>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1. 违法生产 / 销售 / 使用 / 进出口消耗臭氧层物质；2. 涉案物品为违法活动直接关联的设备、原料、产品​</w:t>
            </w:r>
          </w:p>
        </w:tc>
        <w:tc>
          <w:tcPr>
            <w:tcW w:w="3266" w:type="dxa"/>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《消耗臭氧层物质管理条例》第二十六条​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rPr>
          <w:trHeight w:val="600" w:hRule="atLeast"/>
        </w:trPr>
        <w:tc>
          <w:tcPr>
            <w:tcW w:w="693" w:type="dxa"/>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查封 / 扣押场所、设备​</w:t>
            </w:r>
          </w:p>
        </w:tc>
        <w:tc>
          <w:tcPr>
            <w:tcW w:w="1200" w:type="dxa"/>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辐射污染类​</w:t>
            </w:r>
          </w:p>
        </w:tc>
        <w:tc>
          <w:tcPr>
            <w:tcW w:w="3234" w:type="dxa"/>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1. 核设施 / 核技术利用单位存在违法处置放射性废物行为；2. 有证据证明可能发生辐射事故​</w:t>
            </w:r>
          </w:p>
        </w:tc>
        <w:tc>
          <w:tcPr>
            <w:tcW w:w="3266" w:type="dxa"/>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《放射性废物安全管理条例》第三十六条​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rPr>
          <w:trHeight w:val="600" w:hRule="atLeast"/>
        </w:trPr>
        <w:tc>
          <w:tcPr>
            <w:tcW w:w="693" w:type="dxa"/>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查封 / 扣押排污设施​</w:t>
            </w:r>
          </w:p>
        </w:tc>
        <w:tc>
          <w:tcPr>
            <w:tcW w:w="1200" w:type="dxa"/>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突发环境事件类​</w:t>
            </w:r>
          </w:p>
        </w:tc>
        <w:tc>
          <w:tcPr>
            <w:tcW w:w="3234" w:type="dxa"/>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1. 企业引发突发环境事件；2. 未按要求执行停产停排措施，继续违法排污​</w:t>
            </w:r>
          </w:p>
        </w:tc>
        <w:tc>
          <w:tcPr>
            <w:tcW w:w="3266" w:type="dxa"/>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《突发环境事件应急管理办法》第三十七条​</w:t>
            </w:r>
          </w:p>
        </w:tc>
      </w:tr>
    </w:tbl>
    <w:p>
      <w:pPr>
        <w:rPr>
          <w:rFonts w:hint="eastAsia" w:ascii="仿宋" w:hAnsi="仿宋" w:eastAsia="仿宋" w:cs="仿宋"/>
          <w:sz w:val="32"/>
          <w:szCs w:val="32"/>
        </w:rPr>
      </w:pPr>
    </w:p>
    <w:p>
      <w:pPr>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val="en-US" w:eastAsia="zh-CN"/>
        </w:rPr>
        <w:t>三、行政强制执行（代履行、申请法院执行等）的具体适用条件​</w:t>
      </w:r>
    </w:p>
    <w:p>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行政强制执行是当事人逾期不履行行政决定时采取的强制实现义务的措施，核心条件如下：​</w:t>
      </w:r>
    </w:p>
    <w:p>
      <w:pPr>
        <w:ind w:firstLine="640" w:firstLineChars="200"/>
        <w:rPr>
          <w:rFonts w:hint="eastAsia" w:ascii="方正楷体_GBK" w:hAnsi="方正楷体_GBK" w:eastAsia="方正楷体_GBK" w:cs="方正楷体_GBK"/>
          <w:sz w:val="32"/>
          <w:szCs w:val="32"/>
        </w:rPr>
      </w:pPr>
      <w:r>
        <w:rPr>
          <w:rFonts w:hint="eastAsia" w:ascii="方正楷体_GBK" w:hAnsi="方正楷体_GBK" w:eastAsia="方正楷体_GBK" w:cs="方正楷体_GBK"/>
          <w:sz w:val="32"/>
          <w:szCs w:val="32"/>
          <w:lang w:val="en-US" w:eastAsia="zh-CN"/>
        </w:rPr>
        <w:t>（一）通用条件​</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已作出合法有效的行政决定（如行政处罚决定书、责令改正决定书）且送达当事人；​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当事人在法定期限内未履行义务（未申请行政复议 / 行政诉讼，或复议、诉讼维持原决定）；​</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行政机关已履行催告程序（书面催告当事人履行，载明履行期限、方式及权利），当事人无正当理由仍不履行。​</w:t>
      </w:r>
    </w:p>
    <w:p>
      <w:pPr>
        <w:ind w:firstLine="640" w:firstLineChars="200"/>
        <w:rPr>
          <w:rFonts w:hint="eastAsia" w:ascii="方正楷体_GBK" w:hAnsi="方正楷体_GBK" w:eastAsia="方正楷体_GBK" w:cs="方正楷体_GBK"/>
          <w:sz w:val="32"/>
          <w:szCs w:val="32"/>
        </w:rPr>
      </w:pPr>
      <w:r>
        <w:rPr>
          <w:rFonts w:hint="eastAsia" w:ascii="方正楷体_GBK" w:hAnsi="方正楷体_GBK" w:eastAsia="方正楷体_GBK" w:cs="方正楷体_GBK"/>
          <w:sz w:val="32"/>
          <w:szCs w:val="32"/>
          <w:lang w:val="en-US" w:eastAsia="zh-CN"/>
        </w:rPr>
        <w:t>（二）分场景具体条件​</w:t>
      </w:r>
    </w:p>
    <w:p>
      <w:pPr>
        <w:rPr>
          <w:rFonts w:hint="eastAsia" w:ascii="仿宋" w:hAnsi="仿宋" w:eastAsia="仿宋" w:cs="仿宋"/>
          <w:sz w:val="32"/>
          <w:szCs w:val="32"/>
        </w:rPr>
      </w:pPr>
      <w:r>
        <w:rPr>
          <w:rFonts w:hint="eastAsia" w:ascii="仿宋" w:hAnsi="仿宋" w:eastAsia="仿宋" w:cs="仿宋"/>
          <w:sz w:val="32"/>
          <w:szCs w:val="32"/>
          <w:lang w:val="en-US" w:eastAsia="zh-CN"/>
        </w:rPr>
        <w:t>​</w:t>
      </w:r>
    </w:p>
    <w:tbl>
      <w:tblPr>
        <w:tblStyle w:val="2"/>
        <w:tblW w:w="8427" w:type="dxa"/>
        <w:tblInd w:w="0" w:type="dxa"/>
        <w:tblBorders>
          <w:top w:val="none" w:color="auto" w:sz="0" w:space="0"/>
          <w:left w:val="single" w:color="auto" w:sz="2" w:space="0"/>
          <w:bottom w:val="single" w:color="auto" w:sz="2" w:space="0"/>
          <w:right w:val="single" w:color="auto" w:sz="2"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1210"/>
        <w:gridCol w:w="800"/>
        <w:gridCol w:w="3200"/>
        <w:gridCol w:w="3217"/>
      </w:tblGrid>
      <w:tr>
        <w:tblPrEx>
          <w:tblBorders>
            <w:top w:val="none" w:color="auto" w:sz="0" w:space="0"/>
            <w:left w:val="single" w:color="auto" w:sz="2" w:space="0"/>
            <w:bottom w:val="single" w:color="auto" w:sz="2" w:space="0"/>
            <w:right w:val="single" w:color="auto" w:sz="2"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1210" w:type="dxa"/>
            <w:tcBorders>
              <w:top w:val="single" w:color="DEE0E3" w:sz="2" w:space="0"/>
              <w:left w:val="nil"/>
              <w:bottom w:val="single" w:color="DEE0E3" w:sz="2" w:space="0"/>
              <w:right w:val="single" w:color="DEE0E3" w:sz="2" w:space="0"/>
            </w:tcBorders>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执行方式​</w:t>
            </w:r>
          </w:p>
        </w:tc>
        <w:tc>
          <w:tcPr>
            <w:tcW w:w="800" w:type="dxa"/>
            <w:tcBorders>
              <w:top w:val="single" w:color="DEE0E3" w:sz="2" w:space="0"/>
              <w:left w:val="single" w:color="DEE0E3" w:sz="6" w:space="0"/>
              <w:bottom w:val="single" w:color="DEE0E3" w:sz="2" w:space="0"/>
              <w:right w:val="single" w:color="DEE0E3" w:sz="2" w:space="0"/>
            </w:tcBorders>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适用场景​</w:t>
            </w:r>
          </w:p>
        </w:tc>
        <w:tc>
          <w:tcPr>
            <w:tcW w:w="3200" w:type="dxa"/>
            <w:tcBorders>
              <w:top w:val="single" w:color="DEE0E3" w:sz="2" w:space="0"/>
              <w:left w:val="single" w:color="DEE0E3" w:sz="6" w:space="0"/>
              <w:bottom w:val="single" w:color="DEE0E3" w:sz="2" w:space="0"/>
              <w:right w:val="single" w:color="DEE0E3" w:sz="2" w:space="0"/>
            </w:tcBorders>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核心条件​</w:t>
            </w:r>
          </w:p>
        </w:tc>
        <w:tc>
          <w:tcPr>
            <w:tcW w:w="3217" w:type="dxa"/>
            <w:tcBorders>
              <w:top w:val="single" w:color="DEE0E3" w:sz="2" w:space="0"/>
              <w:left w:val="single" w:color="DEE0E3" w:sz="6" w:space="0"/>
              <w:bottom w:val="single" w:color="DEE0E3" w:sz="2" w:space="0"/>
              <w:right w:val="single" w:color="DEE0E3" w:sz="2" w:space="0"/>
            </w:tcBorders>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法律依据​</w:t>
            </w:r>
          </w:p>
        </w:tc>
      </w:tr>
      <w:tr>
        <w:tblPrEx>
          <w:tblBorders>
            <w:top w:val="none" w:color="auto" w:sz="0" w:space="0"/>
            <w:left w:val="single" w:color="auto" w:sz="2" w:space="0"/>
            <w:bottom w:val="single" w:color="auto" w:sz="2" w:space="0"/>
            <w:right w:val="single" w:color="auto" w:sz="2" w:space="0"/>
            <w:insideH w:val="none" w:color="auto" w:sz="0" w:space="0"/>
            <w:insideV w:val="none" w:color="auto" w:sz="0" w:space="0"/>
          </w:tblBorders>
        </w:tblPrEx>
        <w:trPr>
          <w:trHeight w:val="600" w:hRule="atLeast"/>
        </w:trPr>
        <w:tc>
          <w:tcPr>
            <w:tcW w:w="1210" w:type="dxa"/>
            <w:tcBorders>
              <w:top w:val="single" w:color="DEE0E3" w:sz="6" w:space="0"/>
              <w:left w:val="nil"/>
              <w:bottom w:val="single" w:color="DEE0E3" w:sz="2" w:space="0"/>
              <w:right w:val="single" w:color="DEE0E3" w:sz="2" w:space="0"/>
            </w:tcBorders>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代履行（指定单位治理）​</w:t>
            </w:r>
          </w:p>
        </w:tc>
        <w:tc>
          <w:tcPr>
            <w:tcW w:w="800" w:type="dxa"/>
            <w:tcBorders>
              <w:top w:val="single" w:color="DEE0E3" w:sz="6" w:space="0"/>
              <w:left w:val="single" w:color="DEE0E3" w:sz="6" w:space="0"/>
              <w:bottom w:val="single" w:color="DEE0E3" w:sz="2" w:space="0"/>
              <w:right w:val="single" w:color="DEE0E3" w:sz="2" w:space="0"/>
            </w:tcBorders>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水污染治理​</w:t>
            </w:r>
          </w:p>
        </w:tc>
        <w:tc>
          <w:tcPr>
            <w:tcW w:w="3200" w:type="dxa"/>
            <w:tcBorders>
              <w:top w:val="single" w:color="DEE0E3" w:sz="6" w:space="0"/>
              <w:left w:val="single" w:color="DEE0E3" w:sz="6" w:space="0"/>
              <w:bottom w:val="single" w:color="DEE0E3" w:sz="2" w:space="0"/>
              <w:right w:val="single" w:color="DEE0E3" w:sz="2" w:space="0"/>
            </w:tcBorders>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1. 造成水污染事故或违法排放有毒有害物质；2. 责令限期治理后逾期不治理；3. 当事人无治理能力或不按要求治理​</w:t>
            </w:r>
          </w:p>
        </w:tc>
        <w:tc>
          <w:tcPr>
            <w:tcW w:w="3217" w:type="dxa"/>
            <w:tcBorders>
              <w:top w:val="single" w:color="DEE0E3" w:sz="6" w:space="0"/>
              <w:left w:val="single" w:color="DEE0E3" w:sz="6" w:space="0"/>
              <w:bottom w:val="single" w:color="DEE0E3" w:sz="2" w:space="0"/>
              <w:right w:val="single" w:color="DEE0E3" w:sz="2" w:space="0"/>
            </w:tcBorders>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《水污染防治法》第八十三条、第八十五条​</w:t>
            </w:r>
          </w:p>
        </w:tc>
      </w:tr>
      <w:tr>
        <w:tblPrEx>
          <w:tblBorders>
            <w:top w:val="none" w:color="auto" w:sz="0" w:space="0"/>
            <w:left w:val="single" w:color="auto" w:sz="2" w:space="0"/>
            <w:bottom w:val="single" w:color="auto" w:sz="2" w:space="0"/>
            <w:right w:val="single" w:color="auto" w:sz="2"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210" w:type="dxa"/>
            <w:tcBorders>
              <w:top w:val="single" w:color="DEE0E3" w:sz="6" w:space="0"/>
              <w:left w:val="nil"/>
              <w:bottom w:val="single" w:color="DEE0E3" w:sz="2" w:space="0"/>
              <w:right w:val="single" w:color="DEE0E3" w:sz="2" w:space="0"/>
            </w:tcBorders>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代履行（放射性废物处置）​</w:t>
            </w:r>
          </w:p>
        </w:tc>
        <w:tc>
          <w:tcPr>
            <w:tcW w:w="800" w:type="dxa"/>
            <w:tcBorders>
              <w:top w:val="single" w:color="DEE0E3" w:sz="6" w:space="0"/>
              <w:left w:val="single" w:color="DEE0E3" w:sz="6" w:space="0"/>
              <w:bottom w:val="single" w:color="DEE0E3" w:sz="2" w:space="0"/>
              <w:right w:val="single" w:color="DEE0E3" w:sz="2" w:space="0"/>
            </w:tcBorders>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辐射污染治理​</w:t>
            </w:r>
          </w:p>
        </w:tc>
        <w:tc>
          <w:tcPr>
            <w:tcW w:w="3200" w:type="dxa"/>
            <w:tcBorders>
              <w:top w:val="single" w:color="DEE0E3" w:sz="6" w:space="0"/>
              <w:left w:val="single" w:color="DEE0E3" w:sz="6" w:space="0"/>
              <w:bottom w:val="single" w:color="DEE0E3" w:sz="2" w:space="0"/>
              <w:right w:val="single" w:color="DEE0E3" w:sz="2" w:space="0"/>
            </w:tcBorders>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1. 违法处置放射性废物造成污染；2. 责令限期治理后经催告仍不治理；3. 需指定有资质单位代为处置​</w:t>
            </w:r>
          </w:p>
        </w:tc>
        <w:tc>
          <w:tcPr>
            <w:tcW w:w="3217" w:type="dxa"/>
            <w:tcBorders>
              <w:top w:val="single" w:color="DEE0E3" w:sz="6" w:space="0"/>
              <w:left w:val="single" w:color="DEE0E3" w:sz="6" w:space="0"/>
              <w:bottom w:val="single" w:color="DEE0E3" w:sz="2" w:space="0"/>
              <w:right w:val="single" w:color="DEE0E3" w:sz="2" w:space="0"/>
            </w:tcBorders>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《放射性废物安全管理条例》第三十七条​</w:t>
            </w:r>
          </w:p>
        </w:tc>
      </w:tr>
      <w:tr>
        <w:tblPrEx>
          <w:tblBorders>
            <w:top w:val="none" w:color="auto" w:sz="0" w:space="0"/>
            <w:left w:val="single" w:color="auto" w:sz="2" w:space="0"/>
            <w:bottom w:val="single" w:color="auto" w:sz="2" w:space="0"/>
            <w:right w:val="single" w:color="auto" w:sz="2" w:space="0"/>
            <w:insideH w:val="none" w:color="auto" w:sz="0" w:space="0"/>
            <w:insideV w:val="none" w:color="auto" w:sz="0" w:space="0"/>
          </w:tblBorders>
          <w:shd w:val="clear" w:color="auto" w:fill="auto"/>
        </w:tblPrEx>
        <w:trPr>
          <w:trHeight w:val="600" w:hRule="atLeast"/>
        </w:trPr>
        <w:tc>
          <w:tcPr>
            <w:tcW w:w="1210" w:type="dxa"/>
            <w:tcBorders>
              <w:top w:val="single" w:color="DEE0E3" w:sz="6" w:space="0"/>
              <w:left w:val="nil"/>
              <w:bottom w:val="single" w:color="DEE0E3" w:sz="2" w:space="0"/>
              <w:right w:val="single" w:color="DEE0E3" w:sz="2" w:space="0"/>
            </w:tcBorders>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申请法院强制执行​</w:t>
            </w:r>
          </w:p>
        </w:tc>
        <w:tc>
          <w:tcPr>
            <w:tcW w:w="800" w:type="dxa"/>
            <w:tcBorders>
              <w:top w:val="single" w:color="DEE0E3" w:sz="6" w:space="0"/>
              <w:left w:val="single" w:color="DEE0E3" w:sz="6" w:space="0"/>
              <w:bottom w:val="single" w:color="DEE0E3" w:sz="2" w:space="0"/>
              <w:right w:val="single" w:color="DEE0E3" w:sz="2" w:space="0"/>
            </w:tcBorders>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罚款类​</w:t>
            </w:r>
          </w:p>
        </w:tc>
        <w:tc>
          <w:tcPr>
            <w:tcW w:w="3200" w:type="dxa"/>
            <w:tcBorders>
              <w:top w:val="single" w:color="DEE0E3" w:sz="6" w:space="0"/>
              <w:left w:val="single" w:color="DEE0E3" w:sz="6" w:space="0"/>
              <w:bottom w:val="single" w:color="DEE0E3" w:sz="2" w:space="0"/>
              <w:right w:val="single" w:color="DEE0E3" w:sz="2" w:space="0"/>
            </w:tcBorders>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1. 当事人逾期不缴纳罚款（超过 15 日履行期）；2. 经催告后仍不缴纳；3. 无分期 / 延期缴纳批准​</w:t>
            </w:r>
          </w:p>
        </w:tc>
        <w:tc>
          <w:tcPr>
            <w:tcW w:w="3217" w:type="dxa"/>
            <w:tcBorders>
              <w:top w:val="single" w:color="DEE0E3" w:sz="6" w:space="0"/>
              <w:left w:val="single" w:color="DEE0E3" w:sz="6" w:space="0"/>
              <w:bottom w:val="single" w:color="DEE0E3" w:sz="2" w:space="0"/>
              <w:right w:val="single" w:color="DEE0E3" w:sz="2" w:space="0"/>
            </w:tcBorders>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《行政强制法》第五十四条​</w:t>
            </w:r>
          </w:p>
        </w:tc>
      </w:tr>
      <w:tr>
        <w:tblPrEx>
          <w:tblBorders>
            <w:top w:val="none" w:color="auto" w:sz="0" w:space="0"/>
            <w:left w:val="single" w:color="auto" w:sz="2" w:space="0"/>
            <w:bottom w:val="single" w:color="auto" w:sz="2" w:space="0"/>
            <w:right w:val="single" w:color="auto" w:sz="2"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1210" w:type="dxa"/>
            <w:tcBorders>
              <w:top w:val="single" w:color="DEE0E3" w:sz="6" w:space="0"/>
              <w:left w:val="nil"/>
              <w:bottom w:val="single" w:color="DEE0E3" w:sz="2" w:space="0"/>
              <w:right w:val="single" w:color="DEE0E3" w:sz="2" w:space="0"/>
            </w:tcBorders>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申请法院强制执行​</w:t>
            </w:r>
          </w:p>
        </w:tc>
        <w:tc>
          <w:tcPr>
            <w:tcW w:w="800" w:type="dxa"/>
            <w:tcBorders>
              <w:top w:val="single" w:color="DEE0E3" w:sz="6" w:space="0"/>
              <w:left w:val="single" w:color="DEE0E3" w:sz="6" w:space="0"/>
              <w:bottom w:val="single" w:color="DEE0E3" w:sz="2" w:space="0"/>
              <w:right w:val="single" w:color="DEE0E3" w:sz="2" w:space="0"/>
            </w:tcBorders>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行为类义务（如停止生产）​</w:t>
            </w:r>
          </w:p>
        </w:tc>
        <w:tc>
          <w:tcPr>
            <w:tcW w:w="3200" w:type="dxa"/>
            <w:tcBorders>
              <w:top w:val="single" w:color="DEE0E3" w:sz="6" w:space="0"/>
              <w:left w:val="single" w:color="DEE0E3" w:sz="6" w:space="0"/>
              <w:bottom w:val="single" w:color="DEE0E3" w:sz="2" w:space="0"/>
              <w:right w:val="single" w:color="DEE0E3" w:sz="2" w:space="0"/>
            </w:tcBorders>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1. 当事人拒不停止违法生产 / 排污；2. 行政决定明确履行期限且已届满；3. 继续违法将扩大污染危害​</w:t>
            </w:r>
          </w:p>
        </w:tc>
        <w:tc>
          <w:tcPr>
            <w:tcW w:w="3217" w:type="dxa"/>
            <w:tcBorders>
              <w:top w:val="single" w:color="DEE0E3" w:sz="6" w:space="0"/>
              <w:left w:val="single" w:color="DEE0E3" w:sz="6" w:space="0"/>
              <w:bottom w:val="single" w:color="DEE0E3" w:sz="2" w:space="0"/>
              <w:right w:val="single" w:color="DEE0E3" w:sz="2" w:space="0"/>
            </w:tcBorders>
            <w:shd w:val="clear" w:color="auto" w:fill="auto"/>
            <w:vAlign w:val="top"/>
          </w:tcPr>
          <w:p>
            <w:pPr>
              <w:rPr>
                <w:rFonts w:hint="eastAsia" w:ascii="仿宋" w:hAnsi="仿宋" w:eastAsia="仿宋" w:cs="仿宋"/>
                <w:sz w:val="32"/>
                <w:szCs w:val="32"/>
              </w:rPr>
            </w:pPr>
            <w:r>
              <w:rPr>
                <w:rFonts w:hint="eastAsia" w:ascii="仿宋" w:hAnsi="仿宋" w:eastAsia="仿宋" w:cs="仿宋"/>
                <w:sz w:val="32"/>
                <w:szCs w:val="32"/>
                <w:lang w:val="en-US" w:eastAsia="zh-CN"/>
              </w:rPr>
              <w:t>《行政强制法》第五十三条​</w:t>
            </w:r>
          </w:p>
        </w:tc>
      </w:tr>
    </w:tbl>
    <w:p>
      <w:pPr>
        <w:rPr>
          <w:rFonts w:hint="eastAsia" w:ascii="仿宋" w:hAnsi="仿宋" w:eastAsia="仿宋" w:cs="仿宋"/>
          <w:sz w:val="32"/>
          <w:szCs w:val="32"/>
        </w:rPr>
      </w:pPr>
      <w:r>
        <w:rPr>
          <w:rFonts w:hint="eastAsia" w:ascii="仿宋" w:hAnsi="仿宋" w:eastAsia="仿宋" w:cs="仿宋"/>
          <w:sz w:val="32"/>
          <w:szCs w:val="32"/>
          <w:lang w:val="en-US" w:eastAsia="zh-CN"/>
        </w:rPr>
        <w:t>​</w:t>
      </w:r>
    </w:p>
    <w:p>
      <w:pPr>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val="en-US" w:eastAsia="zh-CN"/>
        </w:rPr>
        <w:t>四、禁止实施行政强制的情形​</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无证据证明存在违法事实或污染风险的（如仅凭举报未核实即查封）；​</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当事人已履行行政决定或正按要求整改的；​</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强制措施可能造成更大损害或影响公共利益的（如查封居民必需的供水设施）；​</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违反法定时限实施的（如查封期限超过 30 日且未获批延长）；​</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夜间或法定节假日实施强制执行的（紧急情况除外）；</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以停止供水、供电等方式迫使当事人履行义务的（法律法规另有规定除外）。​</w:t>
      </w:r>
    </w:p>
    <w:p>
      <w:pPr>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val="en-US" w:eastAsia="zh-CN"/>
        </w:rPr>
        <w:t>五、特殊情形的处理条件​</w:t>
      </w:r>
    </w:p>
    <w:p>
      <w:pPr>
        <w:ind w:firstLine="642" w:firstLineChars="200"/>
        <w:rPr>
          <w:rFonts w:hint="eastAsia" w:ascii="仿宋" w:hAnsi="仿宋" w:eastAsia="仿宋" w:cs="仿宋"/>
          <w:sz w:val="32"/>
          <w:szCs w:val="32"/>
        </w:rPr>
      </w:pPr>
      <w:r>
        <w:rPr>
          <w:rFonts w:hint="eastAsia" w:ascii="仿宋" w:hAnsi="仿宋" w:eastAsia="仿宋" w:cs="仿宋"/>
          <w:b/>
          <w:bCs/>
          <w:sz w:val="32"/>
          <w:szCs w:val="32"/>
        </w:rPr>
        <w:t>中止执行：</w:t>
      </w:r>
      <w:r>
        <w:rPr>
          <w:rFonts w:hint="eastAsia" w:ascii="仿宋" w:hAnsi="仿宋" w:eastAsia="仿宋" w:cs="仿宋"/>
          <w:sz w:val="32"/>
          <w:szCs w:val="32"/>
        </w:rPr>
        <w:t>当事人确无履行能力、第三人对执行标的主张合法权利且有理由、执行可能造成难以弥补损失的，可中止执行，待情形消失后恢复。​</w:t>
      </w:r>
    </w:p>
    <w:p>
      <w:pPr>
        <w:ind w:firstLine="642" w:firstLineChars="200"/>
        <w:rPr>
          <w:rFonts w:hint="eastAsia" w:ascii="仿宋" w:hAnsi="仿宋" w:eastAsia="仿宋" w:cs="仿宋"/>
          <w:sz w:val="32"/>
          <w:szCs w:val="32"/>
        </w:rPr>
      </w:pPr>
      <w:r>
        <w:rPr>
          <w:rFonts w:hint="eastAsia" w:ascii="仿宋" w:hAnsi="仿宋" w:eastAsia="仿宋" w:cs="仿宋"/>
          <w:b/>
          <w:bCs/>
          <w:sz w:val="32"/>
          <w:szCs w:val="32"/>
        </w:rPr>
        <w:t>终结执行：</w:t>
      </w:r>
      <w:r>
        <w:rPr>
          <w:rFonts w:hint="eastAsia" w:ascii="仿宋" w:hAnsi="仿宋" w:eastAsia="仿宋" w:cs="仿宋"/>
          <w:sz w:val="32"/>
          <w:szCs w:val="32"/>
        </w:rPr>
        <w:t>当事人死亡无遗产无义务承受人、法人终止无财产无义务承受人、执行标的灭失、行政决定被撤销的，终结执行。​</w:t>
      </w:r>
    </w:p>
    <w:p>
      <w:pPr>
        <w:rPr>
          <w:rFonts w:hint="eastAsia" w:ascii="仿宋" w:hAnsi="仿宋" w:eastAsia="仿宋" w:cs="仿宋"/>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黑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DejaVu Math TeX Gyre">
    <w:panose1 w:val="02000503000000000000"/>
    <w:charset w:val="00"/>
    <w:family w:val="auto"/>
    <w:pitch w:val="default"/>
    <w:sig w:usb0="A10000EF" w:usb1="4201F9EE" w:usb2="02000000" w:usb3="00000000" w:csb0="60000193" w:csb1="0DD4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9365108"/>
    <w:rsid w:val="19365108"/>
    <w:rsid w:val="4FFBC75B"/>
    <w:rsid w:val="5CFBF9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15</TotalTime>
  <ScaleCrop>false</ScaleCrop>
  <LinksUpToDate>false</LinksUpToDate>
  <CharactersWithSpaces>0</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2025-12-29T16:52:00Z</dcterms:created>
  <dc:creator>Administrator</dc:creator>
  <cp:lastModifiedBy>greatwall</cp:lastModifiedBy>
  <cp:lastPrinted>2025-12-29T17:10:00Z</cp:lastPrinted>
  <dcterms:modified xsi:type="dcterms:W3CDTF">2025-12-29T12:28:58Z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y fmtid="{D5CDD505-2E9C-101B-9397-08002B2CF9AE}" pid="3" name="ICV">
    <vt:lpwstr>2A5AE027D9ED4C66B337D5C8CE768D52_11</vt:lpwstr>
  </property>
  <property fmtid="{D5CDD505-2E9C-101B-9397-08002B2CF9AE}" pid="4" name="KSOTemplateDocerSaveRecord">
    <vt:lpwstr>eyJoZGlkIjoiOTkyYTY2NmY2MjQ2ZTMzNDI4M2NjYzQxOWY1MzhiYmYiLCJ1c2VySWQiOiIzNTY4MzIyNDcifQ==</vt:lpwstr>
  </property>
</Properties>
</file>