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BAEBB8">
      <w:pPr>
        <w:widowControl/>
        <w:jc w:val="left"/>
        <w:rPr>
          <w:rFonts w:hint="eastAsia" w:ascii="黑体" w:hAnsi="宋体" w:eastAsia="黑体" w:cs="宋体"/>
          <w:kern w:val="0"/>
          <w:sz w:val="28"/>
          <w:szCs w:val="28"/>
        </w:rPr>
      </w:pPr>
    </w:p>
    <w:p w14:paraId="7451539E">
      <w:pPr>
        <w:widowControl/>
        <w:jc w:val="left"/>
        <w:rPr>
          <w:rFonts w:hint="eastAsia" w:ascii="黑体" w:hAnsi="宋体" w:eastAsia="黑体" w:cs="宋体"/>
          <w:kern w:val="0"/>
          <w:sz w:val="28"/>
          <w:szCs w:val="28"/>
        </w:rPr>
      </w:pPr>
    </w:p>
    <w:p w14:paraId="163C97CB">
      <w:pPr>
        <w:widowControl/>
        <w:jc w:val="left"/>
        <w:rPr>
          <w:rFonts w:hint="eastAsia" w:ascii="黑体" w:hAnsi="宋体" w:eastAsia="黑体" w:cs="宋体"/>
          <w:kern w:val="0"/>
          <w:sz w:val="28"/>
          <w:szCs w:val="28"/>
        </w:rPr>
      </w:pPr>
    </w:p>
    <w:p w14:paraId="038ADF39">
      <w:pPr>
        <w:widowControl/>
        <w:jc w:val="left"/>
        <w:rPr>
          <w:rFonts w:hint="eastAsia" w:ascii="黑体" w:hAnsi="宋体" w:eastAsia="黑体" w:cs="宋体"/>
          <w:kern w:val="0"/>
          <w:sz w:val="28"/>
          <w:szCs w:val="28"/>
        </w:rPr>
      </w:pPr>
    </w:p>
    <w:p w14:paraId="65F81C82">
      <w:pPr>
        <w:widowControl/>
        <w:jc w:val="left"/>
        <w:rPr>
          <w:rFonts w:hint="eastAsia" w:ascii="黑体" w:hAnsi="宋体" w:eastAsia="黑体" w:cs="宋体"/>
          <w:kern w:val="0"/>
          <w:sz w:val="28"/>
          <w:szCs w:val="28"/>
        </w:rPr>
      </w:pPr>
    </w:p>
    <w:p w14:paraId="577A78C6">
      <w:pPr>
        <w:widowControl/>
        <w:jc w:val="left"/>
        <w:rPr>
          <w:rFonts w:hint="eastAsia" w:ascii="黑体" w:hAnsi="宋体" w:eastAsia="黑体" w:cs="宋体"/>
          <w:kern w:val="0"/>
          <w:sz w:val="28"/>
          <w:szCs w:val="28"/>
        </w:rPr>
      </w:pPr>
    </w:p>
    <w:p w14:paraId="10B29FCF">
      <w:pPr>
        <w:widowControl/>
        <w:jc w:val="left"/>
        <w:rPr>
          <w:rFonts w:hint="eastAsia" w:ascii="黑体" w:hAnsi="宋体" w:eastAsia="黑体" w:cs="宋体"/>
          <w:kern w:val="0"/>
          <w:sz w:val="28"/>
          <w:szCs w:val="28"/>
        </w:rPr>
      </w:pPr>
    </w:p>
    <w:p w14:paraId="026A84DB">
      <w:pPr>
        <w:jc w:val="center"/>
        <w:rPr>
          <w:rFonts w:hint="eastAsia" w:ascii="黑体" w:hAnsi="黑体" w:eastAsia="黑体" w:cs="黑体"/>
          <w:sz w:val="52"/>
          <w:szCs w:val="52"/>
          <w:lang w:eastAsia="zh-CN"/>
        </w:rPr>
      </w:pPr>
      <w:r>
        <w:rPr>
          <w:rFonts w:hint="eastAsia" w:ascii="黑体" w:hAnsi="黑体" w:eastAsia="黑体" w:cs="黑体"/>
          <w:sz w:val="52"/>
          <w:szCs w:val="52"/>
          <w:lang w:eastAsia="zh-CN"/>
        </w:rPr>
        <w:t>周口市川汇区城南办事处后王营小学</w:t>
      </w:r>
    </w:p>
    <w:p w14:paraId="1265E4C5">
      <w:pPr>
        <w:jc w:val="center"/>
        <w:rPr>
          <w:rFonts w:hint="eastAsia" w:ascii="黑体" w:hAnsi="黑体" w:eastAsia="黑体" w:cs="黑体"/>
          <w:sz w:val="52"/>
          <w:szCs w:val="52"/>
          <w:lang w:val="en-US" w:eastAsia="zh-CN"/>
        </w:rPr>
      </w:pPr>
      <w:r>
        <w:rPr>
          <w:rFonts w:hint="eastAsia" w:ascii="黑体" w:hAnsi="黑体" w:eastAsia="黑体" w:cs="黑体"/>
          <w:sz w:val="52"/>
          <w:szCs w:val="52"/>
          <w:lang w:eastAsia="zh-CN"/>
        </w:rPr>
        <w:t>202</w:t>
      </w:r>
      <w:r>
        <w:rPr>
          <w:rFonts w:hint="eastAsia" w:ascii="黑体" w:hAnsi="黑体" w:eastAsia="黑体" w:cs="黑体"/>
          <w:sz w:val="52"/>
          <w:szCs w:val="52"/>
          <w:lang w:val="en-US" w:eastAsia="zh-CN"/>
        </w:rPr>
        <w:t>6</w:t>
      </w:r>
      <w:r>
        <w:rPr>
          <w:rFonts w:hint="eastAsia" w:ascii="黑体" w:hAnsi="黑体" w:eastAsia="黑体" w:cs="黑体"/>
          <w:sz w:val="52"/>
          <w:szCs w:val="52"/>
        </w:rPr>
        <w:t>年度</w:t>
      </w:r>
      <w:r>
        <w:rPr>
          <w:rFonts w:hint="eastAsia" w:ascii="黑体" w:hAnsi="黑体" w:eastAsia="黑体" w:cs="黑体"/>
          <w:sz w:val="52"/>
          <w:szCs w:val="52"/>
          <w:lang w:val="en-US" w:eastAsia="zh-CN"/>
        </w:rPr>
        <w:t>单位预</w:t>
      </w:r>
      <w:r>
        <w:rPr>
          <w:rFonts w:hint="eastAsia" w:ascii="黑体" w:hAnsi="黑体" w:eastAsia="黑体" w:cs="黑体"/>
          <w:sz w:val="52"/>
          <w:szCs w:val="52"/>
        </w:rPr>
        <w:t>算</w:t>
      </w:r>
      <w:r>
        <w:rPr>
          <w:rFonts w:hint="eastAsia" w:ascii="黑体" w:hAnsi="黑体" w:eastAsia="黑体" w:cs="黑体"/>
          <w:sz w:val="52"/>
          <w:szCs w:val="52"/>
          <w:lang w:eastAsia="zh-CN"/>
        </w:rPr>
        <w:t>公开</w:t>
      </w:r>
    </w:p>
    <w:p w14:paraId="6B3F75F8">
      <w:pPr>
        <w:jc w:val="center"/>
        <w:rPr>
          <w:rFonts w:ascii="黑体" w:hAnsi="黑体" w:eastAsia="黑体" w:cs="黑体"/>
          <w:sz w:val="52"/>
          <w:szCs w:val="52"/>
        </w:rPr>
      </w:pPr>
    </w:p>
    <w:p w14:paraId="6DC00C57">
      <w:pPr>
        <w:jc w:val="center"/>
        <w:rPr>
          <w:rFonts w:hint="eastAsia" w:ascii="黑体" w:hAnsi="黑体" w:eastAsia="黑体" w:cs="黑体"/>
          <w:sz w:val="52"/>
          <w:szCs w:val="52"/>
        </w:rPr>
      </w:pPr>
    </w:p>
    <w:p w14:paraId="60DBA454">
      <w:pPr>
        <w:jc w:val="center"/>
        <w:rPr>
          <w:rFonts w:hint="eastAsia" w:ascii="黑体" w:hAnsi="黑体" w:eastAsia="黑体" w:cs="黑体"/>
          <w:sz w:val="52"/>
          <w:szCs w:val="52"/>
        </w:rPr>
      </w:pPr>
    </w:p>
    <w:p w14:paraId="350332E6">
      <w:pPr>
        <w:jc w:val="center"/>
        <w:rPr>
          <w:rFonts w:hint="eastAsia" w:ascii="黑体" w:hAnsi="黑体" w:eastAsia="黑体" w:cs="黑体"/>
          <w:sz w:val="52"/>
          <w:szCs w:val="52"/>
        </w:rPr>
      </w:pPr>
    </w:p>
    <w:p w14:paraId="128268B8">
      <w:pPr>
        <w:jc w:val="center"/>
        <w:rPr>
          <w:rFonts w:hint="eastAsia" w:ascii="黑体" w:hAnsi="黑体" w:eastAsia="黑体" w:cs="黑体"/>
          <w:sz w:val="52"/>
          <w:szCs w:val="52"/>
        </w:rPr>
      </w:pPr>
    </w:p>
    <w:p w14:paraId="0B26E4D2">
      <w:pPr>
        <w:jc w:val="center"/>
        <w:rPr>
          <w:rFonts w:hint="eastAsia" w:ascii="黑体" w:hAnsi="黑体" w:eastAsia="黑体" w:cs="黑体"/>
          <w:sz w:val="52"/>
          <w:szCs w:val="52"/>
        </w:rPr>
      </w:pPr>
    </w:p>
    <w:p w14:paraId="517244E9">
      <w:pPr>
        <w:jc w:val="center"/>
        <w:rPr>
          <w:rFonts w:hint="eastAsia" w:ascii="黑体" w:hAnsi="黑体" w:eastAsia="黑体" w:cs="黑体"/>
          <w:sz w:val="32"/>
          <w:szCs w:val="32"/>
        </w:rPr>
        <w:sectPr>
          <w:pgSz w:w="11906" w:h="16838"/>
          <w:pgMar w:top="1440" w:right="1531" w:bottom="1440" w:left="1587" w:header="850" w:footer="992" w:gutter="0"/>
          <w:pgNumType w:fmt="numberInDash"/>
          <w:cols w:space="720" w:num="1"/>
          <w:docGrid w:type="lines" w:linePitch="317" w:charSpace="0"/>
        </w:sectPr>
      </w:pPr>
      <w:r>
        <w:rPr>
          <w:rFonts w:hint="eastAsia" w:ascii="黑体" w:hAnsi="黑体" w:eastAsia="黑体" w:cs="黑体"/>
          <w:sz w:val="32"/>
          <w:szCs w:val="32"/>
        </w:rPr>
        <w:t>二〇二</w:t>
      </w:r>
      <w:r>
        <w:rPr>
          <w:rFonts w:hint="eastAsia" w:ascii="黑体" w:hAnsi="黑体" w:eastAsia="黑体" w:cs="黑体"/>
          <w:sz w:val="32"/>
          <w:szCs w:val="32"/>
          <w:lang w:val="en-US" w:eastAsia="zh-CN"/>
        </w:rPr>
        <w:t>六</w:t>
      </w:r>
      <w:r>
        <w:rPr>
          <w:rFonts w:hint="eastAsia" w:ascii="黑体" w:hAnsi="黑体" w:eastAsia="黑体" w:cs="黑体"/>
          <w:sz w:val="32"/>
          <w:szCs w:val="32"/>
        </w:rPr>
        <w:t>年</w:t>
      </w:r>
      <w:r>
        <w:rPr>
          <w:rFonts w:hint="eastAsia" w:ascii="黑体" w:hAnsi="黑体" w:eastAsia="黑体" w:cs="黑体"/>
          <w:sz w:val="32"/>
          <w:szCs w:val="32"/>
          <w:lang w:val="en-US" w:eastAsia="zh-CN"/>
        </w:rPr>
        <w:t>三</w:t>
      </w:r>
      <w:r>
        <w:rPr>
          <w:rFonts w:hint="eastAsia" w:ascii="黑体" w:hAnsi="黑体" w:eastAsia="黑体" w:cs="黑体"/>
          <w:sz w:val="32"/>
          <w:szCs w:val="32"/>
        </w:rPr>
        <w:t>月</w:t>
      </w:r>
    </w:p>
    <w:p w14:paraId="0081497C">
      <w:pPr>
        <w:jc w:val="center"/>
        <w:rPr>
          <w:rFonts w:ascii="黑体" w:hAnsi="黑体" w:eastAsia="黑体" w:cs="黑体"/>
          <w:sz w:val="36"/>
          <w:szCs w:val="36"/>
        </w:rPr>
      </w:pPr>
      <w:r>
        <w:rPr>
          <w:rFonts w:hint="eastAsia" w:ascii="黑体" w:hAnsi="黑体" w:eastAsia="黑体" w:cs="黑体"/>
          <w:sz w:val="36"/>
          <w:szCs w:val="36"/>
        </w:rPr>
        <w:t>目　　录</w:t>
      </w:r>
    </w:p>
    <w:p w14:paraId="4F5463A3">
      <w:pPr>
        <w:jc w:val="left"/>
        <w:rPr>
          <w:rFonts w:ascii="黑体" w:hAnsi="黑体" w:eastAsia="黑体" w:cs="黑体"/>
          <w:sz w:val="32"/>
          <w:szCs w:val="32"/>
        </w:rPr>
      </w:pPr>
      <w:r>
        <w:rPr>
          <w:rFonts w:hint="eastAsia" w:ascii="黑体" w:hAnsi="黑体" w:eastAsia="黑体" w:cs="黑体"/>
          <w:sz w:val="32"/>
          <w:szCs w:val="32"/>
        </w:rPr>
        <w:t>第一部分　</w:t>
      </w:r>
      <w:r>
        <w:rPr>
          <w:rFonts w:hint="eastAsia" w:ascii="宋体" w:hAnsi="宋体" w:cs="宋体"/>
          <w:sz w:val="32"/>
          <w:szCs w:val="32"/>
          <w:lang w:val="en-US" w:eastAsia="zh-CN"/>
        </w:rPr>
        <w:t>川汇区城南办后王营小学</w:t>
      </w:r>
      <w:r>
        <w:rPr>
          <w:rFonts w:hint="eastAsia" w:ascii="黑体" w:hAnsi="黑体" w:eastAsia="黑体" w:cs="黑体"/>
          <w:sz w:val="32"/>
          <w:szCs w:val="32"/>
        </w:rPr>
        <w:t>（</w:t>
      </w:r>
      <w:r>
        <w:rPr>
          <w:rFonts w:hint="eastAsia" w:ascii="黑体" w:hAnsi="黑体" w:eastAsia="黑体" w:cs="黑体"/>
          <w:sz w:val="32"/>
          <w:szCs w:val="32"/>
          <w:lang w:val="en-US" w:eastAsia="zh-CN"/>
        </w:rPr>
        <w:t>单位</w:t>
      </w:r>
      <w:r>
        <w:rPr>
          <w:rFonts w:hint="eastAsia" w:ascii="黑体" w:hAnsi="黑体" w:eastAsia="黑体" w:cs="黑体"/>
          <w:sz w:val="32"/>
          <w:szCs w:val="32"/>
        </w:rPr>
        <w:t>）概况</w:t>
      </w:r>
    </w:p>
    <w:p w14:paraId="2F9D56FD">
      <w:pPr>
        <w:numPr>
          <w:ilvl w:val="0"/>
          <w:numId w:val="1"/>
        </w:numPr>
        <w:ind w:firstLine="640" w:firstLineChars="200"/>
        <w:jc w:val="left"/>
        <w:rPr>
          <w:rFonts w:ascii="宋体" w:hAnsi="宋体" w:cs="宋体"/>
          <w:sz w:val="32"/>
          <w:szCs w:val="32"/>
        </w:rPr>
      </w:pPr>
      <w:r>
        <w:rPr>
          <w:rFonts w:hint="eastAsia" w:ascii="宋体" w:hAnsi="宋体" w:cs="宋体"/>
          <w:sz w:val="32"/>
          <w:szCs w:val="32"/>
          <w:lang w:val="en-US" w:eastAsia="zh-CN"/>
        </w:rPr>
        <w:t>单位</w:t>
      </w:r>
      <w:r>
        <w:rPr>
          <w:rFonts w:hint="eastAsia" w:ascii="宋体" w:hAnsi="宋体" w:cs="宋体"/>
          <w:sz w:val="32"/>
          <w:szCs w:val="32"/>
        </w:rPr>
        <w:t>职责</w:t>
      </w:r>
    </w:p>
    <w:p w14:paraId="3D6EF33D">
      <w:pPr>
        <w:numPr>
          <w:ilvl w:val="0"/>
          <w:numId w:val="1"/>
        </w:numPr>
        <w:ind w:firstLine="640" w:firstLineChars="200"/>
        <w:jc w:val="left"/>
        <w:rPr>
          <w:rFonts w:ascii="宋体" w:hAnsi="宋体" w:cs="宋体"/>
          <w:sz w:val="32"/>
          <w:szCs w:val="32"/>
        </w:rPr>
      </w:pPr>
      <w:r>
        <w:rPr>
          <w:rFonts w:hint="eastAsia" w:ascii="宋体" w:hAnsi="宋体" w:cs="宋体"/>
          <w:sz w:val="32"/>
          <w:szCs w:val="32"/>
        </w:rPr>
        <w:t>机构设置</w:t>
      </w:r>
    </w:p>
    <w:p w14:paraId="171B2ECF">
      <w:pPr>
        <w:jc w:val="left"/>
        <w:rPr>
          <w:rFonts w:hint="eastAsia" w:ascii="黑体" w:hAnsi="黑体" w:eastAsia="黑体" w:cs="黑体"/>
          <w:sz w:val="32"/>
          <w:szCs w:val="32"/>
        </w:rPr>
      </w:pPr>
      <w:r>
        <w:rPr>
          <w:rFonts w:hint="eastAsia" w:ascii="黑体" w:hAnsi="黑体" w:eastAsia="黑体" w:cs="黑体"/>
          <w:sz w:val="32"/>
          <w:szCs w:val="32"/>
        </w:rPr>
        <w:t xml:space="preserve">第二部分 </w:t>
      </w:r>
      <w:r>
        <w:rPr>
          <w:rFonts w:hint="eastAsia" w:ascii="黑体" w:hAnsi="黑体" w:eastAsia="黑体" w:cs="黑体"/>
          <w:sz w:val="32"/>
          <w:szCs w:val="32"/>
          <w:lang w:eastAsia="zh-CN"/>
        </w:rPr>
        <w:t>202</w:t>
      </w:r>
      <w:r>
        <w:rPr>
          <w:rFonts w:hint="eastAsia" w:ascii="黑体" w:hAnsi="黑体" w:eastAsia="黑体" w:cs="黑体"/>
          <w:sz w:val="32"/>
          <w:szCs w:val="32"/>
          <w:lang w:val="en-US" w:eastAsia="zh-CN"/>
        </w:rPr>
        <w:t>6</w:t>
      </w:r>
      <w:r>
        <w:rPr>
          <w:rFonts w:hint="eastAsia" w:ascii="黑体" w:hAnsi="黑体" w:eastAsia="黑体" w:cs="黑体"/>
          <w:sz w:val="32"/>
          <w:szCs w:val="32"/>
        </w:rPr>
        <w:t>年度</w:t>
      </w:r>
      <w:r>
        <w:rPr>
          <w:rFonts w:hint="eastAsia" w:ascii="黑体" w:hAnsi="黑体" w:eastAsia="黑体" w:cs="黑体"/>
          <w:sz w:val="32"/>
          <w:szCs w:val="32"/>
          <w:lang w:val="en-US" w:eastAsia="zh-CN"/>
        </w:rPr>
        <w:t>单位</w:t>
      </w:r>
      <w:r>
        <w:rPr>
          <w:rFonts w:hint="eastAsia" w:ascii="黑体" w:hAnsi="黑体" w:eastAsia="黑体" w:cs="黑体"/>
          <w:sz w:val="32"/>
          <w:szCs w:val="32"/>
        </w:rPr>
        <w:t>决算情况说明</w:t>
      </w:r>
    </w:p>
    <w:p w14:paraId="0CBE637B">
      <w:pPr>
        <w:numPr>
          <w:ilvl w:val="0"/>
          <w:numId w:val="1"/>
        </w:numPr>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一、单位收支总体情况表</w:t>
      </w:r>
    </w:p>
    <w:p w14:paraId="6C9B7DEB">
      <w:pPr>
        <w:numPr>
          <w:ilvl w:val="0"/>
          <w:numId w:val="1"/>
        </w:numPr>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二、单位收入总体情况表</w:t>
      </w:r>
    </w:p>
    <w:p w14:paraId="53C944AD">
      <w:pPr>
        <w:numPr>
          <w:ilvl w:val="0"/>
          <w:numId w:val="1"/>
        </w:numPr>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三、单位支出总体情况表</w:t>
      </w:r>
    </w:p>
    <w:p w14:paraId="20BEE3E4">
      <w:pPr>
        <w:numPr>
          <w:ilvl w:val="0"/>
          <w:numId w:val="1"/>
        </w:numPr>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四、财政拨款收支总体情况表</w:t>
      </w:r>
    </w:p>
    <w:p w14:paraId="00BB37C6">
      <w:pPr>
        <w:numPr>
          <w:ilvl w:val="0"/>
          <w:numId w:val="1"/>
        </w:numPr>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五、一般公共预算支出情况表</w:t>
      </w:r>
    </w:p>
    <w:p w14:paraId="6E6AA857">
      <w:pPr>
        <w:numPr>
          <w:ilvl w:val="0"/>
          <w:numId w:val="1"/>
        </w:numPr>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六、一般公共预算基本支出情况表</w:t>
      </w:r>
    </w:p>
    <w:p w14:paraId="2B467BFB">
      <w:pPr>
        <w:numPr>
          <w:ilvl w:val="0"/>
          <w:numId w:val="1"/>
        </w:numPr>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七、支出经济分类汇总表</w:t>
      </w:r>
    </w:p>
    <w:p w14:paraId="050932E5">
      <w:pPr>
        <w:numPr>
          <w:ilvl w:val="0"/>
          <w:numId w:val="1"/>
        </w:numPr>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八、一般公共预算"三公"经费支出情况表</w:t>
      </w:r>
    </w:p>
    <w:p w14:paraId="1DD0656B">
      <w:pPr>
        <w:numPr>
          <w:ilvl w:val="0"/>
          <w:numId w:val="1"/>
        </w:numPr>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九、政府性基金预算支出情况表</w:t>
      </w:r>
    </w:p>
    <w:p w14:paraId="04DD9A6A">
      <w:pPr>
        <w:numPr>
          <w:ilvl w:val="0"/>
          <w:numId w:val="1"/>
        </w:numPr>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十、项目支出表</w:t>
      </w:r>
    </w:p>
    <w:p w14:paraId="73194007">
      <w:pPr>
        <w:numPr>
          <w:ilvl w:val="0"/>
          <w:numId w:val="1"/>
        </w:numPr>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十一、单位预算项目绩效目标表</w:t>
      </w:r>
    </w:p>
    <w:p w14:paraId="3D05DE49">
      <w:pPr>
        <w:numPr>
          <w:ilvl w:val="0"/>
          <w:numId w:val="1"/>
        </w:numPr>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十二、单位预算项目绩效目标汇总表</w:t>
      </w:r>
    </w:p>
    <w:p w14:paraId="1A5F9C7E">
      <w:pPr>
        <w:numPr>
          <w:ilvl w:val="0"/>
          <w:numId w:val="1"/>
        </w:numPr>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十三、行政（事业）运行经费预算表</w:t>
      </w:r>
    </w:p>
    <w:p w14:paraId="7F818F87">
      <w:pPr>
        <w:jc w:val="left"/>
        <w:rPr>
          <w:rFonts w:hint="eastAsia" w:ascii="黑体" w:hAnsi="黑体" w:eastAsia="黑体" w:cs="黑体"/>
          <w:sz w:val="32"/>
          <w:szCs w:val="32"/>
        </w:rPr>
      </w:pPr>
      <w:r>
        <w:rPr>
          <w:rFonts w:hint="eastAsia" w:ascii="黑体" w:hAnsi="黑体" w:eastAsia="黑体" w:cs="黑体"/>
          <w:sz w:val="32"/>
          <w:szCs w:val="32"/>
        </w:rPr>
        <w:t>第</w:t>
      </w:r>
      <w:r>
        <w:rPr>
          <w:rFonts w:hint="eastAsia" w:ascii="黑体" w:hAnsi="黑体" w:eastAsia="黑体" w:cs="黑体"/>
          <w:sz w:val="32"/>
          <w:szCs w:val="32"/>
          <w:lang w:eastAsia="zh-CN"/>
        </w:rPr>
        <w:t>三</w:t>
      </w:r>
      <w:r>
        <w:rPr>
          <w:rFonts w:hint="eastAsia" w:ascii="黑体" w:hAnsi="黑体" w:eastAsia="黑体" w:cs="黑体"/>
          <w:sz w:val="32"/>
          <w:szCs w:val="32"/>
        </w:rPr>
        <w:t>部分　　名词解释</w:t>
      </w:r>
    </w:p>
    <w:p w14:paraId="0A98CCDD">
      <w:pPr>
        <w:widowControl/>
        <w:jc w:val="left"/>
        <w:rPr>
          <w:rFonts w:hint="eastAsia" w:ascii="黑体" w:hAnsi="宋体" w:eastAsia="黑体" w:cs="宋体"/>
          <w:kern w:val="0"/>
          <w:sz w:val="28"/>
          <w:szCs w:val="28"/>
        </w:rPr>
      </w:pPr>
    </w:p>
    <w:p w14:paraId="585C753C">
      <w:pPr>
        <w:widowControl/>
        <w:jc w:val="left"/>
        <w:rPr>
          <w:rFonts w:hint="eastAsia" w:ascii="黑体" w:hAnsi="宋体" w:eastAsia="黑体" w:cs="宋体"/>
          <w:kern w:val="0"/>
          <w:sz w:val="28"/>
          <w:szCs w:val="28"/>
        </w:rPr>
      </w:pPr>
    </w:p>
    <w:p w14:paraId="42197726">
      <w:pPr>
        <w:rPr>
          <w:rFonts w:hint="eastAsia" w:ascii="黑体" w:hAnsi="黑体" w:eastAsia="黑体" w:cs="黑体"/>
          <w:sz w:val="48"/>
          <w:szCs w:val="48"/>
        </w:rPr>
      </w:pPr>
    </w:p>
    <w:p w14:paraId="34EA96BF">
      <w:pPr>
        <w:widowControl/>
        <w:jc w:val="center"/>
        <w:outlineLvl w:val="0"/>
        <w:rPr>
          <w:rFonts w:hint="eastAsia" w:ascii="黑体" w:hAnsi="宋体" w:eastAsia="黑体" w:cs="宋体"/>
          <w:kern w:val="0"/>
          <w:sz w:val="28"/>
          <w:szCs w:val="28"/>
        </w:rPr>
      </w:pPr>
      <w:r>
        <w:rPr>
          <w:rFonts w:hint="eastAsia" w:ascii="黑体" w:hAnsi="黑体" w:eastAsia="黑体" w:cs="黑体"/>
          <w:sz w:val="48"/>
          <w:szCs w:val="48"/>
        </w:rPr>
        <w:t xml:space="preserve">第一部分  </w:t>
      </w:r>
      <w:r>
        <w:rPr>
          <w:rFonts w:hint="eastAsia" w:ascii="黑体" w:hAnsi="黑体" w:eastAsia="黑体" w:cs="黑体"/>
          <w:sz w:val="52"/>
          <w:szCs w:val="52"/>
          <w:lang w:eastAsia="zh-CN"/>
        </w:rPr>
        <w:t>川汇区城南办后王营小学</w:t>
      </w:r>
      <w:r>
        <w:rPr>
          <w:rFonts w:hint="eastAsia" w:ascii="黑体" w:hAnsi="黑体" w:eastAsia="黑体" w:cs="黑体"/>
          <w:sz w:val="48"/>
          <w:szCs w:val="48"/>
          <w:lang w:val="en-US" w:eastAsia="zh-CN"/>
        </w:rPr>
        <w:t>单位</w:t>
      </w:r>
      <w:r>
        <w:rPr>
          <w:rFonts w:hint="eastAsia" w:ascii="黑体" w:hAnsi="黑体" w:eastAsia="黑体" w:cs="黑体"/>
          <w:sz w:val="48"/>
          <w:szCs w:val="48"/>
        </w:rPr>
        <w:t>概况</w:t>
      </w:r>
    </w:p>
    <w:p w14:paraId="5654EAD8">
      <w:pPr>
        <w:widowControl/>
        <w:ind w:firstLine="640" w:firstLineChars="200"/>
        <w:jc w:val="left"/>
        <w:outlineLvl w:val="1"/>
        <w:rPr>
          <w:rFonts w:ascii="黑体" w:hAnsi="黑体" w:eastAsia="黑体" w:cs="黑体"/>
          <w:kern w:val="0"/>
          <w:sz w:val="32"/>
          <w:szCs w:val="32"/>
        </w:rPr>
      </w:pPr>
    </w:p>
    <w:p w14:paraId="09152011">
      <w:pPr>
        <w:widowControl/>
        <w:ind w:firstLine="640" w:firstLineChars="200"/>
        <w:jc w:val="left"/>
        <w:outlineLvl w:val="1"/>
        <w:rPr>
          <w:rFonts w:hint="eastAsia" w:ascii="黑体" w:hAnsi="黑体" w:eastAsia="黑体" w:cs="黑体"/>
          <w:kern w:val="0"/>
          <w:sz w:val="32"/>
          <w:szCs w:val="32"/>
        </w:rPr>
      </w:pPr>
      <w:r>
        <w:rPr>
          <w:rFonts w:hint="eastAsia" w:ascii="黑体" w:hAnsi="黑体" w:eastAsia="黑体" w:cs="黑体"/>
          <w:kern w:val="0"/>
          <w:sz w:val="32"/>
          <w:szCs w:val="32"/>
        </w:rPr>
        <w:t>一、</w:t>
      </w:r>
      <w:r>
        <w:rPr>
          <w:rFonts w:hint="eastAsia" w:ascii="黑体" w:hAnsi="黑体" w:eastAsia="黑体" w:cs="黑体"/>
          <w:kern w:val="0"/>
          <w:sz w:val="32"/>
          <w:szCs w:val="32"/>
          <w:lang w:val="en-US" w:eastAsia="zh-CN"/>
        </w:rPr>
        <w:t>单位</w:t>
      </w:r>
      <w:r>
        <w:rPr>
          <w:rFonts w:hint="eastAsia" w:ascii="黑体" w:hAnsi="黑体" w:eastAsia="黑体" w:cs="黑体"/>
          <w:bCs/>
          <w:sz w:val="32"/>
          <w:szCs w:val="32"/>
        </w:rPr>
        <w:t>职责</w:t>
      </w:r>
    </w:p>
    <w:p w14:paraId="1C482730">
      <w:pPr>
        <w:spacing w:line="600" w:lineRule="exact"/>
        <w:ind w:firstLine="724" w:firstLineChars="200"/>
        <w:rPr>
          <w:rFonts w:hint="eastAsia" w:ascii="仿宋_GB2312" w:hAnsi="宋体" w:eastAsia="仿宋_GB2312" w:cs="宋体"/>
          <w:b w:val="0"/>
          <w:bCs w:val="0"/>
          <w:kern w:val="0"/>
          <w:sz w:val="32"/>
          <w:szCs w:val="32"/>
        </w:rPr>
      </w:pPr>
      <w:r>
        <w:rPr>
          <w:rFonts w:hint="eastAsia" w:ascii="仿宋_GB2312" w:hAnsi="仿宋_GB2312" w:eastAsia="仿宋_GB2312" w:cs="仿宋_GB2312"/>
          <w:b w:val="0"/>
          <w:bCs w:val="0"/>
          <w:spacing w:val="21"/>
          <w:sz w:val="32"/>
          <w:szCs w:val="32"/>
        </w:rPr>
        <w:t>周口市</w:t>
      </w:r>
      <w:r>
        <w:rPr>
          <w:rFonts w:hint="eastAsia" w:ascii="仿宋_GB2312" w:hAnsi="仿宋_GB2312" w:eastAsia="仿宋_GB2312" w:cs="仿宋_GB2312"/>
          <w:b w:val="0"/>
          <w:bCs w:val="0"/>
          <w:spacing w:val="21"/>
          <w:sz w:val="32"/>
          <w:szCs w:val="32"/>
          <w:lang w:eastAsia="zh-CN"/>
        </w:rPr>
        <w:t>川汇区城南办事处后王营</w:t>
      </w:r>
      <w:r>
        <w:rPr>
          <w:rFonts w:hint="eastAsia" w:ascii="仿宋_GB2312" w:hAnsi="仿宋_GB2312" w:eastAsia="仿宋_GB2312" w:cs="仿宋_GB2312"/>
          <w:b w:val="0"/>
          <w:bCs w:val="0"/>
          <w:spacing w:val="21"/>
          <w:sz w:val="32"/>
          <w:szCs w:val="32"/>
        </w:rPr>
        <w:t>小学是一所财政全额拨款的事业单位，主要从事小学义务教育，促进基础教育发展，负责小学学历教育（相关社会服务）</w:t>
      </w:r>
      <w:r>
        <w:rPr>
          <w:rFonts w:hint="eastAsia" w:ascii="仿宋_GB2312" w:hAnsi="宋体" w:eastAsia="仿宋_GB2312" w:cs="宋体"/>
          <w:b w:val="0"/>
          <w:bCs w:val="0"/>
          <w:kern w:val="0"/>
          <w:sz w:val="32"/>
          <w:szCs w:val="32"/>
        </w:rPr>
        <w:t>。</w:t>
      </w:r>
    </w:p>
    <w:p w14:paraId="6DD30CD8">
      <w:pPr>
        <w:widowControl/>
        <w:ind w:firstLine="640" w:firstLineChars="200"/>
        <w:jc w:val="left"/>
        <w:outlineLvl w:val="1"/>
        <w:rPr>
          <w:rFonts w:hint="eastAsia" w:ascii="黑体" w:hAnsi="黑体" w:eastAsia="黑体" w:cs="黑体"/>
          <w:kern w:val="0"/>
          <w:sz w:val="32"/>
          <w:szCs w:val="32"/>
        </w:rPr>
      </w:pPr>
      <w:r>
        <w:rPr>
          <w:rFonts w:hint="eastAsia" w:ascii="黑体" w:hAnsi="黑体" w:eastAsia="黑体" w:cs="黑体"/>
          <w:kern w:val="0"/>
          <w:sz w:val="32"/>
          <w:szCs w:val="32"/>
        </w:rPr>
        <w:t>二、机构设置</w:t>
      </w:r>
    </w:p>
    <w:p w14:paraId="6DCC8BDE">
      <w:pPr>
        <w:pStyle w:val="4"/>
        <w:spacing w:before="158" w:line="344" w:lineRule="auto"/>
        <w:ind w:left="108" w:right="101" w:firstLine="640"/>
        <w:jc w:val="both"/>
        <w:rPr>
          <w:rFonts w:hint="eastAsia" w:ascii="仿宋_GB2312" w:hAnsi="仿宋_GB2312" w:eastAsia="仿宋_GB2312" w:cs="仿宋_GB2312"/>
          <w:color w:val="auto"/>
        </w:rPr>
      </w:pPr>
      <w:r>
        <w:rPr>
          <w:rFonts w:hint="eastAsia" w:ascii="仿宋_GB2312" w:hAnsi="仿宋_GB2312" w:eastAsia="仿宋_GB2312" w:cs="仿宋_GB2312"/>
          <w:kern w:val="0"/>
          <w:sz w:val="32"/>
          <w:szCs w:val="32"/>
          <w:lang w:eastAsia="zh-CN"/>
        </w:rPr>
        <w:t>川汇区城南办事处后王营小学</w:t>
      </w:r>
      <w:r>
        <w:rPr>
          <w:rFonts w:hint="eastAsia" w:ascii="仿宋_GB2312" w:hAnsi="仿宋_GB2312" w:eastAsia="仿宋_GB2312" w:cs="仿宋_GB2312"/>
          <w:color w:val="auto"/>
          <w:spacing w:val="11"/>
          <w:w w:val="95"/>
        </w:rPr>
        <w:t>基本情况是川汇区教体局直属的一所公办小学，属财政二级预算管理单位，我校</w:t>
      </w:r>
      <w:r>
        <w:rPr>
          <w:rFonts w:hint="eastAsia" w:ascii="仿宋_GB2312" w:hAnsi="仿宋_GB2312" w:eastAsia="仿宋_GB2312" w:cs="仿宋_GB2312"/>
          <w:color w:val="auto"/>
          <w:spacing w:val="8"/>
        </w:rPr>
        <w:t>编制数</w:t>
      </w:r>
      <w:r>
        <w:rPr>
          <w:rFonts w:hint="eastAsia" w:ascii="仿宋_GB2312" w:hAnsi="仿宋_GB2312" w:eastAsia="仿宋_GB2312" w:cs="仿宋_GB2312"/>
          <w:color w:val="auto"/>
          <w:lang w:val="en-US" w:eastAsia="zh-CN"/>
        </w:rPr>
        <w:t>21</w:t>
      </w:r>
      <w:r>
        <w:rPr>
          <w:rFonts w:hint="eastAsia" w:ascii="仿宋_GB2312" w:hAnsi="仿宋_GB2312" w:eastAsia="仿宋_GB2312" w:cs="仿宋_GB2312"/>
          <w:color w:val="auto"/>
          <w:spacing w:val="8"/>
        </w:rPr>
        <w:t>人，实有在职人数</w:t>
      </w:r>
      <w:r>
        <w:rPr>
          <w:rFonts w:hint="eastAsia" w:ascii="仿宋_GB2312" w:hAnsi="仿宋_GB2312" w:eastAsia="仿宋_GB2312" w:cs="仿宋_GB2312"/>
          <w:color w:val="auto"/>
          <w:lang w:val="en-US" w:eastAsia="zh-CN"/>
        </w:rPr>
        <w:t>15</w:t>
      </w:r>
      <w:r>
        <w:rPr>
          <w:rFonts w:hint="eastAsia" w:ascii="仿宋_GB2312" w:hAnsi="仿宋_GB2312" w:eastAsia="仿宋_GB2312" w:cs="仿宋_GB2312"/>
          <w:color w:val="auto"/>
          <w:spacing w:val="6"/>
        </w:rPr>
        <w:t>人，遗属生活补助</w:t>
      </w:r>
      <w:r>
        <w:rPr>
          <w:rFonts w:hint="eastAsia" w:ascii="仿宋_GB2312" w:hAnsi="仿宋_GB2312" w:eastAsia="仿宋_GB2312" w:cs="仿宋_GB2312"/>
          <w:color w:val="auto"/>
          <w:lang w:val="en-US" w:eastAsia="zh-CN"/>
        </w:rPr>
        <w:t>2</w:t>
      </w:r>
      <w:r>
        <w:rPr>
          <w:rFonts w:hint="eastAsia" w:ascii="仿宋_GB2312" w:hAnsi="仿宋_GB2312" w:eastAsia="仿宋_GB2312" w:cs="仿宋_GB2312"/>
          <w:color w:val="auto"/>
          <w:spacing w:val="7"/>
        </w:rPr>
        <w:t>人。</w:t>
      </w:r>
      <w:r>
        <w:rPr>
          <w:rFonts w:hint="eastAsia" w:ascii="仿宋_GB2312" w:hAnsi="仿宋_GB2312" w:eastAsia="仿宋_GB2312" w:cs="仿宋_GB2312"/>
          <w:color w:val="auto"/>
          <w:spacing w:val="21"/>
        </w:rPr>
        <w:t>其中：专业技术人员</w:t>
      </w:r>
      <w:r>
        <w:rPr>
          <w:rFonts w:hint="eastAsia" w:ascii="仿宋_GB2312" w:hAnsi="仿宋_GB2312" w:eastAsia="仿宋_GB2312" w:cs="仿宋_GB2312"/>
          <w:color w:val="auto"/>
          <w:lang w:val="en-US" w:eastAsia="zh-CN"/>
        </w:rPr>
        <w:t>14</w:t>
      </w:r>
      <w:r>
        <w:rPr>
          <w:rFonts w:hint="eastAsia" w:ascii="仿宋_GB2312" w:hAnsi="仿宋_GB2312" w:eastAsia="仿宋_GB2312" w:cs="仿宋_GB2312"/>
          <w:color w:val="auto"/>
          <w:spacing w:val="20"/>
        </w:rPr>
        <w:t>人，工勤</w:t>
      </w:r>
      <w:r>
        <w:rPr>
          <w:rFonts w:hint="eastAsia" w:ascii="仿宋_GB2312" w:hAnsi="仿宋_GB2312" w:eastAsia="仿宋_GB2312" w:cs="仿宋_GB2312"/>
          <w:color w:val="auto"/>
          <w:lang w:val="en-US"/>
        </w:rPr>
        <w:t>1</w:t>
      </w:r>
      <w:r>
        <w:rPr>
          <w:rFonts w:hint="eastAsia" w:ascii="仿宋_GB2312" w:hAnsi="仿宋_GB2312" w:eastAsia="仿宋_GB2312" w:cs="仿宋_GB2312"/>
          <w:color w:val="auto"/>
          <w:spacing w:val="21"/>
        </w:rPr>
        <w:t>人。高级职称教师</w:t>
      </w:r>
      <w:r>
        <w:rPr>
          <w:rFonts w:hint="eastAsia" w:ascii="仿宋_GB2312" w:hAnsi="仿宋_GB2312" w:eastAsia="仿宋_GB2312" w:cs="仿宋_GB2312"/>
          <w:color w:val="auto"/>
          <w:lang w:val="en-US" w:eastAsia="zh-CN"/>
        </w:rPr>
        <w:t>2</w:t>
      </w:r>
      <w:r>
        <w:rPr>
          <w:rFonts w:hint="eastAsia" w:ascii="仿宋_GB2312" w:hAnsi="仿宋_GB2312" w:eastAsia="仿宋_GB2312" w:cs="仿宋_GB2312"/>
          <w:color w:val="auto"/>
          <w:spacing w:val="1"/>
          <w:w w:val="105"/>
        </w:rPr>
        <w:t>人，中级职称教师</w:t>
      </w:r>
      <w:r>
        <w:rPr>
          <w:rFonts w:hint="eastAsia" w:ascii="仿宋_GB2312" w:hAnsi="仿宋_GB2312" w:eastAsia="仿宋_GB2312" w:cs="仿宋_GB2312"/>
          <w:color w:val="auto"/>
          <w:w w:val="105"/>
          <w:lang w:val="en-US" w:eastAsia="zh-CN"/>
        </w:rPr>
        <w:t>10</w:t>
      </w:r>
      <w:r>
        <w:rPr>
          <w:rFonts w:hint="eastAsia" w:ascii="仿宋_GB2312" w:hAnsi="仿宋_GB2312" w:eastAsia="仿宋_GB2312" w:cs="仿宋_GB2312"/>
          <w:color w:val="auto"/>
          <w:spacing w:val="-3"/>
          <w:w w:val="105"/>
        </w:rPr>
        <w:t>人，初级职称教师</w:t>
      </w:r>
      <w:r>
        <w:rPr>
          <w:rFonts w:hint="eastAsia" w:ascii="仿宋_GB2312" w:hAnsi="仿宋_GB2312" w:eastAsia="仿宋_GB2312" w:cs="仿宋_GB2312"/>
          <w:color w:val="auto"/>
          <w:w w:val="105"/>
          <w:lang w:val="en-US" w:eastAsia="zh-CN"/>
        </w:rPr>
        <w:t>2</w:t>
      </w:r>
      <w:r>
        <w:rPr>
          <w:rFonts w:hint="eastAsia" w:ascii="仿宋_GB2312" w:hAnsi="仿宋_GB2312" w:eastAsia="仿宋_GB2312" w:cs="仿宋_GB2312"/>
          <w:color w:val="auto"/>
          <w:spacing w:val="-15"/>
          <w:w w:val="105"/>
        </w:rPr>
        <w:t>人，技师</w:t>
      </w:r>
      <w:r>
        <w:rPr>
          <w:rFonts w:hint="eastAsia" w:ascii="仿宋_GB2312" w:hAnsi="仿宋_GB2312" w:eastAsia="仿宋_GB2312" w:cs="仿宋_GB2312"/>
          <w:color w:val="auto"/>
          <w:spacing w:val="-15"/>
          <w:w w:val="105"/>
          <w:lang w:val="en-US"/>
        </w:rPr>
        <w:t>1人</w:t>
      </w:r>
      <w:r>
        <w:rPr>
          <w:rFonts w:hint="eastAsia" w:ascii="仿宋_GB2312" w:hAnsi="仿宋_GB2312" w:eastAsia="仿宋_GB2312" w:cs="仿宋_GB2312"/>
          <w:color w:val="auto"/>
        </w:rPr>
        <w:t>。退休教师</w:t>
      </w:r>
      <w:r>
        <w:rPr>
          <w:rFonts w:hint="eastAsia" w:ascii="仿宋_GB2312" w:hAnsi="仿宋_GB2312" w:eastAsia="仿宋_GB2312" w:cs="仿宋_GB2312"/>
          <w:color w:val="auto"/>
          <w:lang w:val="en-US" w:eastAsia="zh-CN"/>
        </w:rPr>
        <w:t>13</w:t>
      </w:r>
      <w:r>
        <w:rPr>
          <w:rFonts w:hint="eastAsia" w:ascii="仿宋_GB2312" w:hAnsi="仿宋_GB2312" w:eastAsia="仿宋_GB2312" w:cs="仿宋_GB2312"/>
          <w:color w:val="auto"/>
        </w:rPr>
        <w:t>人，我校内设教务处、总务处、德育处等机构。</w:t>
      </w:r>
    </w:p>
    <w:p w14:paraId="06F5A027">
      <w:pPr>
        <w:widowControl/>
        <w:ind w:firstLine="640" w:firstLineChars="200"/>
        <w:jc w:val="left"/>
        <w:rPr>
          <w:rFonts w:hint="eastAsia" w:ascii="仿宋_GB2312" w:hAnsi="仿宋_GB2312" w:eastAsia="仿宋_GB2312" w:cs="仿宋_GB2312"/>
          <w:kern w:val="0"/>
          <w:sz w:val="32"/>
          <w:szCs w:val="32"/>
          <w:lang w:eastAsia="zh-CN"/>
        </w:rPr>
      </w:pPr>
      <w:r>
        <w:rPr>
          <w:rFonts w:hint="eastAsia" w:ascii="仿宋_GB2312" w:hAnsi="仿宋_GB2312" w:eastAsia="仿宋_GB2312" w:cs="仿宋_GB2312"/>
          <w:kern w:val="0"/>
          <w:sz w:val="32"/>
          <w:szCs w:val="32"/>
        </w:rPr>
        <w:t>从决算单位构成看，</w:t>
      </w:r>
      <w:r>
        <w:rPr>
          <w:rFonts w:hint="eastAsia" w:ascii="仿宋_GB2312" w:hAnsi="仿宋_GB2312" w:eastAsia="仿宋_GB2312" w:cs="仿宋_GB2312"/>
          <w:kern w:val="0"/>
          <w:sz w:val="32"/>
          <w:szCs w:val="32"/>
          <w:lang w:eastAsia="zh-CN"/>
        </w:rPr>
        <w:t>周口市川汇区城南办事处后王营小学</w:t>
      </w:r>
      <w:r>
        <w:rPr>
          <w:rFonts w:hint="eastAsia" w:ascii="仿宋_GB2312" w:hAnsi="仿宋_GB2312" w:eastAsia="仿宋_GB2312" w:cs="仿宋_GB2312"/>
          <w:kern w:val="0"/>
          <w:sz w:val="32"/>
          <w:szCs w:val="32"/>
          <w:lang w:val="en-US" w:eastAsia="zh-CN"/>
        </w:rPr>
        <w:t>单位</w:t>
      </w:r>
      <w:r>
        <w:rPr>
          <w:rFonts w:hint="eastAsia" w:ascii="仿宋_GB2312" w:hAnsi="仿宋_GB2312" w:eastAsia="仿宋_GB2312" w:cs="仿宋_GB2312"/>
          <w:kern w:val="0"/>
          <w:sz w:val="32"/>
          <w:szCs w:val="32"/>
          <w:lang w:eastAsia="zh-CN"/>
        </w:rPr>
        <w:t>预</w:t>
      </w:r>
      <w:r>
        <w:rPr>
          <w:rFonts w:hint="eastAsia" w:ascii="仿宋_GB2312" w:hAnsi="仿宋_GB2312" w:eastAsia="仿宋_GB2312" w:cs="仿宋_GB2312"/>
          <w:kern w:val="0"/>
          <w:sz w:val="32"/>
          <w:szCs w:val="32"/>
        </w:rPr>
        <w:t>算包括：本级</w:t>
      </w:r>
      <w:r>
        <w:rPr>
          <w:rFonts w:hint="eastAsia" w:ascii="仿宋_GB2312" w:hAnsi="仿宋_GB2312" w:eastAsia="仿宋_GB2312" w:cs="仿宋_GB2312"/>
          <w:kern w:val="0"/>
          <w:sz w:val="32"/>
          <w:szCs w:val="32"/>
          <w:lang w:eastAsia="zh-CN"/>
        </w:rPr>
        <w:t>预</w:t>
      </w:r>
      <w:r>
        <w:rPr>
          <w:rFonts w:hint="eastAsia" w:ascii="仿宋_GB2312" w:hAnsi="仿宋_GB2312" w:eastAsia="仿宋_GB2312" w:cs="仿宋_GB2312"/>
          <w:kern w:val="0"/>
          <w:sz w:val="32"/>
          <w:szCs w:val="32"/>
        </w:rPr>
        <w:t>算</w:t>
      </w:r>
      <w:r>
        <w:rPr>
          <w:rFonts w:hint="eastAsia" w:ascii="仿宋_GB2312" w:hAnsi="仿宋_GB2312" w:eastAsia="仿宋_GB2312" w:cs="仿宋_GB2312"/>
          <w:kern w:val="0"/>
          <w:sz w:val="32"/>
          <w:szCs w:val="32"/>
          <w:lang w:eastAsia="zh-CN"/>
        </w:rPr>
        <w:t>。</w:t>
      </w:r>
    </w:p>
    <w:p w14:paraId="5D2D7FF9">
      <w:pPr>
        <w:widowControl/>
        <w:ind w:firstLine="640" w:firstLineChars="200"/>
        <w:jc w:val="left"/>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lang w:val="en-US" w:eastAsia="zh-CN"/>
        </w:rPr>
        <w:t>2026年度，</w:t>
      </w:r>
      <w:r>
        <w:rPr>
          <w:rFonts w:hint="eastAsia" w:ascii="仿宋_GB2312" w:hAnsi="仿宋_GB2312" w:eastAsia="仿宋_GB2312" w:cs="仿宋_GB2312"/>
          <w:kern w:val="0"/>
          <w:sz w:val="32"/>
          <w:szCs w:val="32"/>
        </w:rPr>
        <w:t>纳入本</w:t>
      </w:r>
      <w:r>
        <w:rPr>
          <w:rFonts w:hint="eastAsia" w:ascii="仿宋_GB2312" w:hAnsi="仿宋_GB2312" w:eastAsia="仿宋_GB2312" w:cs="仿宋_GB2312"/>
          <w:kern w:val="0"/>
          <w:sz w:val="32"/>
          <w:szCs w:val="32"/>
          <w:lang w:val="en-US" w:eastAsia="zh-CN"/>
        </w:rPr>
        <w:t>单位</w:t>
      </w:r>
      <w:r>
        <w:rPr>
          <w:rFonts w:hint="eastAsia" w:ascii="仿宋_GB2312" w:hAnsi="仿宋_GB2312" w:eastAsia="仿宋_GB2312" w:cs="仿宋_GB2312"/>
          <w:kern w:val="0"/>
          <w:sz w:val="32"/>
          <w:szCs w:val="32"/>
          <w:lang w:eastAsia="zh-CN"/>
        </w:rPr>
        <w:t>202</w:t>
      </w:r>
      <w:r>
        <w:rPr>
          <w:rFonts w:hint="eastAsia" w:ascii="仿宋_GB2312" w:hAnsi="仿宋_GB2312" w:eastAsia="仿宋_GB2312" w:cs="仿宋_GB2312"/>
          <w:kern w:val="0"/>
          <w:sz w:val="32"/>
          <w:szCs w:val="32"/>
          <w:lang w:val="en-US" w:eastAsia="zh-CN"/>
        </w:rPr>
        <w:t>6</w:t>
      </w:r>
      <w:r>
        <w:rPr>
          <w:rFonts w:hint="eastAsia" w:ascii="仿宋_GB2312" w:hAnsi="仿宋_GB2312" w:eastAsia="仿宋_GB2312" w:cs="仿宋_GB2312"/>
          <w:kern w:val="0"/>
          <w:sz w:val="32"/>
          <w:szCs w:val="32"/>
        </w:rPr>
        <w:t>年度</w:t>
      </w:r>
      <w:r>
        <w:rPr>
          <w:rFonts w:hint="eastAsia" w:ascii="仿宋_GB2312" w:hAnsi="仿宋_GB2312" w:eastAsia="仿宋_GB2312" w:cs="仿宋_GB2312"/>
          <w:kern w:val="0"/>
          <w:sz w:val="32"/>
          <w:szCs w:val="32"/>
          <w:lang w:val="en-US" w:eastAsia="zh-CN"/>
        </w:rPr>
        <w:t>单位</w:t>
      </w:r>
      <w:r>
        <w:rPr>
          <w:rFonts w:hint="eastAsia" w:ascii="仿宋_GB2312" w:hAnsi="仿宋_GB2312" w:eastAsia="仿宋_GB2312" w:cs="仿宋_GB2312"/>
          <w:kern w:val="0"/>
          <w:sz w:val="32"/>
          <w:szCs w:val="32"/>
        </w:rPr>
        <w:t>决算编制范围的单位共</w:t>
      </w:r>
      <w:r>
        <w:rPr>
          <w:rFonts w:hint="eastAsia" w:ascii="仿宋_GB2312" w:hAnsi="仿宋_GB2312" w:eastAsia="仿宋_GB2312" w:cs="仿宋_GB2312"/>
          <w:kern w:val="0"/>
          <w:sz w:val="32"/>
          <w:szCs w:val="32"/>
          <w:lang w:val="en-US" w:eastAsia="zh-CN"/>
        </w:rPr>
        <w:t>1</w:t>
      </w:r>
      <w:r>
        <w:rPr>
          <w:rFonts w:hint="eastAsia" w:ascii="仿宋_GB2312" w:hAnsi="仿宋_GB2312" w:eastAsia="仿宋_GB2312" w:cs="仿宋_GB2312"/>
          <w:kern w:val="0"/>
          <w:sz w:val="32"/>
          <w:szCs w:val="32"/>
        </w:rPr>
        <w:t>个，</w:t>
      </w:r>
      <w:r>
        <w:rPr>
          <w:rFonts w:hint="eastAsia" w:ascii="仿宋_GB2312" w:hAnsi="仿宋_GB2312" w:eastAsia="仿宋_GB2312" w:cs="仿宋_GB2312"/>
          <w:kern w:val="0"/>
          <w:sz w:val="32"/>
          <w:szCs w:val="32"/>
          <w:lang w:val="en-US" w:eastAsia="zh-CN"/>
        </w:rPr>
        <w:t>具体为</w:t>
      </w:r>
      <w:r>
        <w:rPr>
          <w:rFonts w:hint="eastAsia" w:ascii="仿宋_GB2312" w:hAnsi="仿宋_GB2312" w:eastAsia="仿宋_GB2312" w:cs="仿宋_GB2312"/>
          <w:kern w:val="0"/>
          <w:sz w:val="32"/>
          <w:szCs w:val="32"/>
        </w:rPr>
        <w:t>：</w:t>
      </w:r>
    </w:p>
    <w:p w14:paraId="4E035A2B">
      <w:pPr>
        <w:widowControl/>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1</w:t>
      </w:r>
      <w:r>
        <w:rPr>
          <w:rFonts w:hint="eastAsia" w:ascii="仿宋_GB2312" w:hAnsi="仿宋_GB2312" w:eastAsia="仿宋_GB2312" w:cs="仿宋_GB2312"/>
          <w:kern w:val="0"/>
          <w:sz w:val="32"/>
          <w:szCs w:val="32"/>
        </w:rPr>
        <w:t>.</w:t>
      </w:r>
      <w:r>
        <w:rPr>
          <w:rFonts w:hint="eastAsia" w:ascii="仿宋_GB2312" w:hAnsi="仿宋_GB2312" w:eastAsia="仿宋_GB2312" w:cs="仿宋_GB2312"/>
          <w:kern w:val="0"/>
          <w:sz w:val="32"/>
          <w:szCs w:val="32"/>
          <w:lang w:eastAsia="zh-CN"/>
        </w:rPr>
        <w:t>周口市川汇区城南办事处后王营小学</w:t>
      </w:r>
    </w:p>
    <w:p w14:paraId="61F4571E">
      <w:pPr>
        <w:widowControl/>
        <w:ind w:firstLine="640" w:firstLineChars="200"/>
        <w:jc w:val="left"/>
        <w:rPr>
          <w:rFonts w:hint="eastAsia" w:ascii="仿宋_GB2312" w:hAnsi="仿宋_GB2312" w:eastAsia="仿宋_GB2312" w:cs="仿宋_GB2312"/>
          <w:kern w:val="0"/>
          <w:sz w:val="32"/>
          <w:szCs w:val="32"/>
        </w:rPr>
      </w:pPr>
    </w:p>
    <w:p w14:paraId="2B12A495">
      <w:pPr>
        <w:widowControl/>
        <w:jc w:val="left"/>
        <w:rPr>
          <w:rFonts w:hint="eastAsia" w:ascii="黑体" w:hAnsi="宋体" w:eastAsia="黑体" w:cs="宋体"/>
          <w:kern w:val="0"/>
          <w:sz w:val="28"/>
          <w:szCs w:val="28"/>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14:paraId="34A7D84A">
      <w:pPr>
        <w:jc w:val="center"/>
        <w:outlineLvl w:val="0"/>
        <w:rPr>
          <w:rFonts w:hint="eastAsia" w:ascii="黑体" w:hAnsi="黑体" w:eastAsia="黑体" w:cs="黑体"/>
          <w:sz w:val="48"/>
          <w:szCs w:val="48"/>
        </w:rPr>
      </w:pPr>
      <w:r>
        <w:rPr>
          <w:rFonts w:hint="eastAsia" w:ascii="黑体" w:hAnsi="黑体" w:eastAsia="黑体" w:cs="黑体"/>
          <w:sz w:val="48"/>
          <w:szCs w:val="48"/>
        </w:rPr>
        <w:t>第二部分</w:t>
      </w:r>
      <w:r>
        <w:rPr>
          <w:rFonts w:hint="eastAsia" w:ascii="黑体" w:hAnsi="黑体" w:eastAsia="黑体" w:cs="黑体"/>
          <w:sz w:val="48"/>
          <w:szCs w:val="48"/>
          <w:lang w:eastAsia="zh-CN"/>
        </w:rPr>
        <w:t>202</w:t>
      </w:r>
      <w:r>
        <w:rPr>
          <w:rFonts w:hint="eastAsia" w:ascii="黑体" w:hAnsi="黑体" w:eastAsia="黑体" w:cs="黑体"/>
          <w:sz w:val="48"/>
          <w:szCs w:val="48"/>
          <w:lang w:val="en-US" w:eastAsia="zh-CN"/>
        </w:rPr>
        <w:t>6</w:t>
      </w:r>
      <w:r>
        <w:rPr>
          <w:rFonts w:hint="eastAsia" w:ascii="黑体" w:hAnsi="黑体" w:eastAsia="黑体" w:cs="黑体"/>
          <w:sz w:val="48"/>
          <w:szCs w:val="48"/>
        </w:rPr>
        <w:t>年度</w:t>
      </w:r>
      <w:r>
        <w:rPr>
          <w:rFonts w:hint="eastAsia" w:ascii="黑体" w:hAnsi="黑体" w:eastAsia="黑体" w:cs="黑体"/>
          <w:sz w:val="48"/>
          <w:szCs w:val="48"/>
          <w:lang w:val="en-US" w:eastAsia="zh-CN"/>
        </w:rPr>
        <w:t>单位</w:t>
      </w:r>
      <w:r>
        <w:rPr>
          <w:rFonts w:hint="eastAsia" w:ascii="黑体" w:hAnsi="黑体" w:eastAsia="黑体" w:cs="黑体"/>
          <w:sz w:val="48"/>
          <w:szCs w:val="48"/>
        </w:rPr>
        <w:t>决算情况说明</w:t>
      </w:r>
    </w:p>
    <w:p w14:paraId="739B98BE">
      <w:pPr>
        <w:widowControl/>
        <w:spacing w:line="590" w:lineRule="exact"/>
        <w:outlineLvl w:val="1"/>
        <w:rPr>
          <w:rFonts w:hint="eastAsia" w:ascii="黑体" w:hAnsi="黑体" w:eastAsia="黑体" w:cs="黑体"/>
          <w:sz w:val="32"/>
          <w:szCs w:val="32"/>
        </w:rPr>
      </w:pPr>
      <w:r>
        <w:rPr>
          <w:rFonts w:hint="eastAsia" w:ascii="黑体" w:hAnsi="黑体" w:eastAsia="黑体" w:cs="黑体"/>
          <w:sz w:val="32"/>
          <w:szCs w:val="32"/>
        </w:rPr>
        <w:t>一、收入支出决算总体情况说明</w:t>
      </w:r>
    </w:p>
    <w:p w14:paraId="158A4CEF">
      <w:pPr>
        <w:widowControl/>
        <w:spacing w:line="59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年度收、支总计均为</w:t>
      </w:r>
      <w:r>
        <w:rPr>
          <w:rFonts w:hint="eastAsia" w:ascii="仿宋_GB2312" w:hAnsi="仿宋_GB2312" w:eastAsia="仿宋_GB2312" w:cs="仿宋_GB2312"/>
          <w:sz w:val="32"/>
          <w:szCs w:val="32"/>
          <w:lang w:val="en-US" w:eastAsia="zh-CN"/>
        </w:rPr>
        <w:t>288.49</w:t>
      </w:r>
      <w:r>
        <w:rPr>
          <w:rFonts w:hint="eastAsia" w:ascii="仿宋_GB2312" w:hAnsi="仿宋_GB2312" w:eastAsia="仿宋_GB2312" w:cs="仿宋_GB2312"/>
          <w:sz w:val="32"/>
          <w:szCs w:val="32"/>
        </w:rPr>
        <w:t>万元。与上年度相比，收、支总计各</w:t>
      </w:r>
      <w:r>
        <w:rPr>
          <w:rFonts w:hint="eastAsia" w:ascii="仿宋_GB2312" w:hAnsi="仿宋_GB2312" w:eastAsia="仿宋_GB2312" w:cs="仿宋_GB2312"/>
          <w:sz w:val="32"/>
          <w:szCs w:val="32"/>
          <w:lang w:eastAsia="zh-CN"/>
        </w:rPr>
        <w:t>增加</w:t>
      </w:r>
      <w:r>
        <w:rPr>
          <w:rFonts w:hint="eastAsia" w:ascii="仿宋_GB2312" w:hAnsi="仿宋_GB2312" w:eastAsia="仿宋_GB2312" w:cs="仿宋_GB2312"/>
          <w:sz w:val="32"/>
          <w:szCs w:val="32"/>
          <w:lang w:val="en-US" w:eastAsia="zh-CN"/>
        </w:rPr>
        <w:t>42.29</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val="en-US" w:eastAsia="zh-CN"/>
        </w:rPr>
        <w:t>增加17</w:t>
      </w:r>
      <w:r>
        <w:rPr>
          <w:rFonts w:hint="eastAsia" w:ascii="仿宋_GB2312" w:hAnsi="仿宋_GB2312" w:eastAsia="仿宋_GB2312" w:cs="仿宋_GB2312"/>
          <w:sz w:val="32"/>
          <w:szCs w:val="32"/>
        </w:rPr>
        <w:t>%。主要原因是</w:t>
      </w:r>
      <w:r>
        <w:rPr>
          <w:rFonts w:hint="eastAsia" w:ascii="仿宋_GB2312" w:hAnsi="仿宋_GB2312" w:eastAsia="仿宋_GB2312" w:cs="仿宋_GB2312"/>
          <w:sz w:val="32"/>
          <w:szCs w:val="32"/>
          <w:lang w:val="en-US" w:eastAsia="zh-CN"/>
        </w:rPr>
        <w:t>工资标准调整，人员经费增加及中央奖补资金。</w:t>
      </w:r>
    </w:p>
    <w:p w14:paraId="1C6EF067">
      <w:pPr>
        <w:widowControl/>
        <w:spacing w:line="590" w:lineRule="exact"/>
        <w:ind w:firstLine="640" w:firstLineChars="200"/>
        <w:outlineLvl w:val="1"/>
        <w:rPr>
          <w:rFonts w:hint="eastAsia" w:ascii="黑体" w:hAnsi="黑体" w:eastAsia="黑体" w:cs="黑体"/>
          <w:sz w:val="32"/>
          <w:szCs w:val="32"/>
        </w:rPr>
      </w:pPr>
      <w:r>
        <w:rPr>
          <w:rFonts w:hint="eastAsia" w:ascii="黑体" w:hAnsi="黑体" w:eastAsia="黑体" w:cs="黑体"/>
          <w:sz w:val="32"/>
          <w:szCs w:val="32"/>
        </w:rPr>
        <w:t>二、收入决算情况说明</w:t>
      </w:r>
    </w:p>
    <w:p w14:paraId="0D8F60DE">
      <w:pPr>
        <w:widowControl/>
        <w:spacing w:line="590" w:lineRule="exact"/>
        <w:ind w:firstLine="640" w:firstLineChars="200"/>
        <w:rPr>
          <w:rFonts w:hint="eastAsia" w:ascii="黑体" w:hAnsi="黑体" w:eastAsia="黑体" w:cs="黑体"/>
          <w:sz w:val="32"/>
          <w:szCs w:val="32"/>
        </w:rPr>
      </w:pPr>
      <w:r>
        <w:rPr>
          <w:rFonts w:hint="eastAsia" w:ascii="仿宋_GB2312" w:hAnsi="仿宋_GB2312" w:eastAsia="仿宋_GB2312" w:cs="仿宋_GB2312"/>
          <w:sz w:val="32"/>
          <w:szCs w:val="32"/>
          <w:lang w:eastAsia="zh-CN"/>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年度收入合计</w:t>
      </w:r>
      <w:r>
        <w:rPr>
          <w:rFonts w:hint="eastAsia" w:ascii="仿宋_GB2312" w:hAnsi="仿宋_GB2312" w:eastAsia="仿宋_GB2312" w:cs="仿宋_GB2312"/>
          <w:sz w:val="32"/>
          <w:szCs w:val="32"/>
          <w:lang w:val="en-US" w:eastAsia="zh-CN"/>
        </w:rPr>
        <w:t>288.49</w:t>
      </w:r>
      <w:r>
        <w:rPr>
          <w:rFonts w:hint="eastAsia" w:ascii="仿宋_GB2312" w:hAnsi="仿宋_GB2312" w:eastAsia="仿宋_GB2312" w:cs="仿宋_GB2312"/>
          <w:sz w:val="32"/>
          <w:szCs w:val="32"/>
        </w:rPr>
        <w:t>万元，其中：财政拨款收入</w:t>
      </w:r>
      <w:r>
        <w:rPr>
          <w:rFonts w:hint="eastAsia" w:ascii="仿宋_GB2312" w:hAnsi="仿宋_GB2312" w:eastAsia="仿宋_GB2312" w:cs="仿宋_GB2312"/>
          <w:sz w:val="32"/>
          <w:szCs w:val="32"/>
          <w:lang w:val="en-US" w:eastAsia="zh-CN"/>
        </w:rPr>
        <w:t>288.49</w:t>
      </w:r>
      <w:r>
        <w:rPr>
          <w:rFonts w:hint="eastAsia" w:ascii="仿宋_GB2312" w:hAnsi="仿宋_GB2312" w:eastAsia="仿宋_GB2312" w:cs="仿宋_GB2312"/>
          <w:sz w:val="32"/>
          <w:szCs w:val="32"/>
        </w:rPr>
        <w:t>万元，占</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%；上级补助收入</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%；事业收入</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%；经营收入</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%；附属单位上缴收入</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%；其他收入</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w:t>
      </w:r>
    </w:p>
    <w:p w14:paraId="62C61881">
      <w:pPr>
        <w:widowControl/>
        <w:spacing w:line="590" w:lineRule="exact"/>
        <w:ind w:firstLine="640" w:firstLineChars="200"/>
        <w:outlineLvl w:val="1"/>
        <w:rPr>
          <w:rFonts w:hint="eastAsia" w:ascii="黑体" w:hAnsi="黑体" w:eastAsia="黑体" w:cs="黑体"/>
          <w:sz w:val="32"/>
          <w:szCs w:val="32"/>
        </w:rPr>
      </w:pPr>
      <w:r>
        <w:rPr>
          <w:rFonts w:hint="eastAsia" w:ascii="黑体" w:hAnsi="黑体" w:eastAsia="黑体" w:cs="黑体"/>
          <w:sz w:val="32"/>
          <w:szCs w:val="32"/>
        </w:rPr>
        <w:t>三、支出决算情况说明</w:t>
      </w:r>
    </w:p>
    <w:p w14:paraId="43EE3D95">
      <w:pPr>
        <w:widowControl/>
        <w:spacing w:line="59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年度支出合计</w:t>
      </w:r>
      <w:r>
        <w:rPr>
          <w:rFonts w:hint="eastAsia" w:ascii="仿宋_GB2312" w:hAnsi="仿宋_GB2312" w:eastAsia="仿宋_GB2312" w:cs="仿宋_GB2312"/>
          <w:sz w:val="32"/>
          <w:szCs w:val="32"/>
          <w:lang w:val="en-US" w:eastAsia="zh-CN"/>
        </w:rPr>
        <w:t>288.49</w:t>
      </w:r>
      <w:r>
        <w:rPr>
          <w:rFonts w:hint="eastAsia" w:ascii="仿宋_GB2312" w:hAnsi="仿宋_GB2312" w:eastAsia="仿宋_GB2312" w:cs="仿宋_GB2312"/>
          <w:sz w:val="32"/>
          <w:szCs w:val="32"/>
        </w:rPr>
        <w:t>万元，其中：基本支出</w:t>
      </w:r>
      <w:r>
        <w:rPr>
          <w:rFonts w:hint="eastAsia" w:ascii="仿宋_GB2312" w:hAnsi="仿宋_GB2312" w:eastAsia="仿宋_GB2312" w:cs="仿宋_GB2312"/>
          <w:sz w:val="32"/>
          <w:szCs w:val="32"/>
          <w:lang w:val="en-US" w:eastAsia="zh-CN"/>
        </w:rPr>
        <w:t>286.67</w:t>
      </w:r>
      <w:r>
        <w:rPr>
          <w:rFonts w:hint="eastAsia" w:ascii="仿宋_GB2312" w:hAnsi="仿宋_GB2312" w:eastAsia="仿宋_GB2312" w:cs="仿宋_GB2312"/>
          <w:sz w:val="32"/>
          <w:szCs w:val="32"/>
        </w:rPr>
        <w:t>万元，占</w:t>
      </w:r>
      <w:r>
        <w:rPr>
          <w:rFonts w:hint="eastAsia" w:ascii="仿宋_GB2312" w:hAnsi="仿宋_GB2312" w:eastAsia="仿宋_GB2312" w:cs="仿宋_GB2312"/>
          <w:sz w:val="32"/>
          <w:szCs w:val="32"/>
          <w:lang w:val="en-US" w:eastAsia="zh-CN"/>
        </w:rPr>
        <w:t>99.4</w:t>
      </w:r>
      <w:r>
        <w:rPr>
          <w:rFonts w:hint="eastAsia" w:ascii="仿宋_GB2312" w:hAnsi="仿宋_GB2312" w:eastAsia="仿宋_GB2312" w:cs="仿宋_GB2312"/>
          <w:sz w:val="32"/>
          <w:szCs w:val="32"/>
        </w:rPr>
        <w:t>%；项目支出</w:t>
      </w:r>
      <w:r>
        <w:rPr>
          <w:rFonts w:hint="eastAsia" w:ascii="仿宋_GB2312" w:hAnsi="仿宋_GB2312" w:eastAsia="仿宋_GB2312" w:cs="仿宋_GB2312"/>
          <w:sz w:val="32"/>
          <w:szCs w:val="32"/>
          <w:lang w:val="en-US" w:eastAsia="zh-CN"/>
        </w:rPr>
        <w:t>1.82</w:t>
      </w:r>
      <w:r>
        <w:rPr>
          <w:rFonts w:hint="eastAsia" w:ascii="仿宋_GB2312" w:hAnsi="仿宋_GB2312" w:eastAsia="仿宋_GB2312" w:cs="仿宋_GB2312"/>
          <w:sz w:val="32"/>
          <w:szCs w:val="32"/>
        </w:rPr>
        <w:t>万元，占</w:t>
      </w:r>
      <w:r>
        <w:rPr>
          <w:rFonts w:hint="eastAsia" w:ascii="仿宋_GB2312" w:hAnsi="仿宋_GB2312" w:eastAsia="仿宋_GB2312" w:cs="仿宋_GB2312"/>
          <w:sz w:val="32"/>
          <w:szCs w:val="32"/>
          <w:lang w:val="en-US" w:eastAsia="zh-CN"/>
        </w:rPr>
        <w:t>0.6</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w:t>
      </w:r>
    </w:p>
    <w:p w14:paraId="70075052">
      <w:pPr>
        <w:widowControl/>
        <w:spacing w:line="590" w:lineRule="exact"/>
        <w:ind w:firstLine="640" w:firstLineChars="200"/>
        <w:outlineLvl w:val="1"/>
        <w:rPr>
          <w:rFonts w:hint="eastAsia" w:ascii="黑体" w:hAnsi="黑体" w:eastAsia="黑体" w:cs="黑体"/>
          <w:sz w:val="32"/>
          <w:szCs w:val="32"/>
        </w:rPr>
      </w:pPr>
      <w:r>
        <w:rPr>
          <w:rFonts w:hint="eastAsia" w:ascii="黑体" w:hAnsi="黑体" w:eastAsia="黑体" w:cs="黑体"/>
          <w:sz w:val="32"/>
          <w:szCs w:val="32"/>
        </w:rPr>
        <w:t>四、财政拨款收入支出决算总体情况说明</w:t>
      </w:r>
    </w:p>
    <w:p w14:paraId="4B767CC3">
      <w:pPr>
        <w:widowControl/>
        <w:spacing w:line="59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年度财政拨款收、支总计均为</w:t>
      </w:r>
      <w:r>
        <w:rPr>
          <w:rFonts w:hint="eastAsia" w:ascii="仿宋_GB2312" w:hAnsi="仿宋_GB2312" w:eastAsia="仿宋_GB2312" w:cs="仿宋_GB2312"/>
          <w:sz w:val="32"/>
          <w:szCs w:val="32"/>
          <w:lang w:val="en-US" w:eastAsia="zh-CN"/>
        </w:rPr>
        <w:t>288.49</w:t>
      </w:r>
      <w:r>
        <w:rPr>
          <w:rFonts w:hint="eastAsia" w:ascii="仿宋_GB2312" w:hAnsi="仿宋_GB2312" w:eastAsia="仿宋_GB2312" w:cs="仿宋_GB2312"/>
          <w:sz w:val="32"/>
          <w:szCs w:val="32"/>
        </w:rPr>
        <w:t>万元。与上年度相比，财政拨款收、支总计各</w:t>
      </w:r>
      <w:r>
        <w:rPr>
          <w:rFonts w:hint="eastAsia" w:ascii="仿宋_GB2312" w:hAnsi="仿宋_GB2312" w:eastAsia="仿宋_GB2312" w:cs="仿宋_GB2312"/>
          <w:sz w:val="32"/>
          <w:szCs w:val="32"/>
          <w:lang w:eastAsia="zh-CN"/>
        </w:rPr>
        <w:t>增加</w:t>
      </w:r>
      <w:r>
        <w:rPr>
          <w:rFonts w:hint="eastAsia" w:ascii="仿宋_GB2312" w:hAnsi="仿宋_GB2312" w:eastAsia="仿宋_GB2312" w:cs="仿宋_GB2312"/>
          <w:sz w:val="32"/>
          <w:szCs w:val="32"/>
          <w:lang w:val="en-US" w:eastAsia="zh-CN"/>
        </w:rPr>
        <w:t>42.29</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val="en-US" w:eastAsia="zh-CN"/>
        </w:rPr>
        <w:t>增加17</w:t>
      </w:r>
      <w:r>
        <w:rPr>
          <w:rFonts w:hint="eastAsia" w:ascii="仿宋_GB2312" w:hAnsi="仿宋_GB2312" w:eastAsia="仿宋_GB2312" w:cs="仿宋_GB2312"/>
          <w:sz w:val="32"/>
          <w:szCs w:val="32"/>
        </w:rPr>
        <w:t>%。主要原因是</w:t>
      </w:r>
      <w:r>
        <w:rPr>
          <w:rFonts w:hint="eastAsia" w:ascii="仿宋_GB2312" w:hAnsi="仿宋_GB2312" w:eastAsia="仿宋_GB2312" w:cs="仿宋_GB2312"/>
          <w:sz w:val="32"/>
          <w:szCs w:val="32"/>
          <w:lang w:val="en-US" w:eastAsia="zh-CN"/>
        </w:rPr>
        <w:t>工资标准调整，人员经费增加及中央奖补资金。</w:t>
      </w:r>
    </w:p>
    <w:p w14:paraId="0AA1DE43">
      <w:pPr>
        <w:widowControl/>
        <w:spacing w:line="590" w:lineRule="exact"/>
        <w:ind w:firstLine="640" w:firstLineChars="200"/>
        <w:outlineLvl w:val="1"/>
        <w:rPr>
          <w:rFonts w:hint="eastAsia" w:ascii="黑体" w:hAnsi="黑体" w:eastAsia="黑体" w:cs="黑体"/>
          <w:sz w:val="32"/>
          <w:szCs w:val="32"/>
        </w:rPr>
      </w:pPr>
      <w:r>
        <w:rPr>
          <w:rFonts w:hint="eastAsia" w:ascii="黑体" w:hAnsi="黑体" w:eastAsia="黑体" w:cs="黑体"/>
          <w:sz w:val="32"/>
          <w:szCs w:val="32"/>
        </w:rPr>
        <w:t>五、一般公共预算财政拨款支出决算情况说明</w:t>
      </w:r>
    </w:p>
    <w:p w14:paraId="275254ED">
      <w:pPr>
        <w:widowControl/>
        <w:spacing w:line="590" w:lineRule="exact"/>
        <w:ind w:firstLine="643"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（一）总体情况。</w:t>
      </w:r>
    </w:p>
    <w:p w14:paraId="2994B525">
      <w:pPr>
        <w:widowControl/>
        <w:spacing w:line="590" w:lineRule="exact"/>
        <w:ind w:firstLine="640" w:firstLineChars="200"/>
        <w:rPr>
          <w:rFonts w:hint="eastAsia" w:ascii="宋体" w:hAnsi="宋体" w:eastAsia="宋体" w:cs="宋体"/>
          <w:sz w:val="31"/>
          <w:szCs w:val="31"/>
          <w:lang w:eastAsia="zh-CN"/>
        </w:rPr>
      </w:pPr>
      <w:r>
        <w:rPr>
          <w:rFonts w:hint="eastAsia" w:ascii="仿宋_GB2312" w:hAnsi="仿宋_GB2312" w:eastAsia="仿宋_GB2312" w:cs="仿宋_GB2312"/>
          <w:sz w:val="32"/>
          <w:szCs w:val="32"/>
          <w:lang w:eastAsia="zh-CN"/>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年度一般公共预算财政拨款支出</w:t>
      </w:r>
      <w:r>
        <w:rPr>
          <w:rFonts w:hint="eastAsia" w:ascii="仿宋_GB2312" w:hAnsi="仿宋_GB2312" w:eastAsia="仿宋_GB2312" w:cs="仿宋_GB2312"/>
          <w:sz w:val="32"/>
          <w:szCs w:val="32"/>
          <w:lang w:val="en-US" w:eastAsia="zh-CN"/>
        </w:rPr>
        <w:t>288.49</w:t>
      </w:r>
      <w:r>
        <w:rPr>
          <w:rFonts w:hint="eastAsia" w:ascii="仿宋_GB2312" w:hAnsi="仿宋_GB2312" w:eastAsia="仿宋_GB2312" w:cs="仿宋_GB2312"/>
          <w:sz w:val="32"/>
          <w:szCs w:val="32"/>
        </w:rPr>
        <w:t>万元，占支出合计的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%。与上年度相比，一般公共预算财政拨款支出</w:t>
      </w:r>
      <w:r>
        <w:rPr>
          <w:rFonts w:hint="eastAsia" w:ascii="仿宋_GB2312" w:hAnsi="仿宋_GB2312" w:eastAsia="仿宋_GB2312" w:cs="仿宋_GB2312"/>
          <w:sz w:val="32"/>
          <w:szCs w:val="32"/>
          <w:lang w:eastAsia="zh-CN"/>
        </w:rPr>
        <w:t>增加</w:t>
      </w:r>
      <w:r>
        <w:rPr>
          <w:rFonts w:hint="eastAsia" w:ascii="仿宋_GB2312" w:hAnsi="仿宋_GB2312" w:eastAsia="仿宋_GB2312" w:cs="仿宋_GB2312"/>
          <w:sz w:val="32"/>
          <w:szCs w:val="32"/>
          <w:lang w:val="en-US" w:eastAsia="zh-CN"/>
        </w:rPr>
        <w:t>42.29</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val="en-US" w:eastAsia="zh-CN"/>
        </w:rPr>
        <w:t>增加17</w:t>
      </w:r>
      <w:r>
        <w:rPr>
          <w:rFonts w:hint="eastAsia" w:ascii="仿宋_GB2312" w:hAnsi="仿宋_GB2312" w:eastAsia="仿宋_GB2312" w:cs="仿宋_GB2312"/>
          <w:sz w:val="32"/>
          <w:szCs w:val="32"/>
        </w:rPr>
        <w:t>%。主要原因是</w:t>
      </w:r>
      <w:r>
        <w:rPr>
          <w:rFonts w:hint="eastAsia" w:ascii="仿宋_GB2312" w:hAnsi="仿宋_GB2312" w:eastAsia="仿宋_GB2312" w:cs="仿宋_GB2312"/>
          <w:sz w:val="32"/>
          <w:szCs w:val="32"/>
          <w:lang w:val="en-US" w:eastAsia="zh-CN"/>
        </w:rPr>
        <w:t>工资标准调整，人员经费增加及中央奖补资金。</w:t>
      </w:r>
    </w:p>
    <w:p w14:paraId="2CF90043">
      <w:pPr>
        <w:widowControl/>
        <w:spacing w:line="590" w:lineRule="exact"/>
        <w:ind w:firstLine="640" w:firstLineChars="200"/>
        <w:outlineLvl w:val="1"/>
        <w:rPr>
          <w:rFonts w:hint="eastAsia" w:ascii="黑体" w:hAnsi="黑体" w:eastAsia="黑体" w:cs="黑体"/>
          <w:sz w:val="32"/>
          <w:szCs w:val="32"/>
        </w:rPr>
      </w:pPr>
      <w:r>
        <w:rPr>
          <w:rFonts w:hint="eastAsia" w:ascii="黑体" w:hAnsi="黑体" w:eastAsia="黑体" w:cs="黑体"/>
          <w:sz w:val="32"/>
          <w:szCs w:val="32"/>
        </w:rPr>
        <w:t>六、一般公共预算财政拨款基本支出决算情况说明</w:t>
      </w:r>
    </w:p>
    <w:p w14:paraId="2C7FC78F">
      <w:pPr>
        <w:widowControl/>
        <w:spacing w:line="59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年度一般公共预算财政拨款基本支出</w:t>
      </w:r>
      <w:r>
        <w:rPr>
          <w:rFonts w:hint="eastAsia" w:ascii="仿宋_GB2312" w:hAnsi="仿宋_GB2312" w:eastAsia="仿宋_GB2312" w:cs="仿宋_GB2312"/>
          <w:sz w:val="32"/>
          <w:szCs w:val="32"/>
          <w:lang w:val="en-US" w:eastAsia="zh-CN"/>
        </w:rPr>
        <w:t>286.67</w:t>
      </w:r>
      <w:r>
        <w:rPr>
          <w:rFonts w:hint="eastAsia" w:ascii="仿宋_GB2312" w:hAnsi="仿宋_GB2312" w:eastAsia="仿宋_GB2312" w:cs="仿宋_GB2312"/>
          <w:sz w:val="32"/>
          <w:szCs w:val="32"/>
        </w:rPr>
        <w:t>万元。其中：人员经费</w:t>
      </w:r>
      <w:r>
        <w:rPr>
          <w:rFonts w:hint="eastAsia" w:ascii="仿宋_GB2312" w:hAnsi="仿宋_GB2312" w:eastAsia="仿宋_GB2312" w:cs="仿宋_GB2312"/>
          <w:sz w:val="32"/>
          <w:szCs w:val="32"/>
          <w:lang w:val="en-US" w:eastAsia="zh-CN"/>
        </w:rPr>
        <w:t>283.17</w:t>
      </w:r>
      <w:r>
        <w:rPr>
          <w:rFonts w:hint="eastAsia" w:ascii="仿宋_GB2312" w:hAnsi="仿宋_GB2312" w:eastAsia="仿宋_GB2312" w:cs="仿宋_GB2312"/>
          <w:sz w:val="32"/>
          <w:szCs w:val="32"/>
        </w:rPr>
        <w:t>万元，占</w:t>
      </w:r>
      <w:r>
        <w:rPr>
          <w:rFonts w:hint="eastAsia" w:ascii="仿宋_GB2312" w:hAnsi="仿宋_GB2312" w:eastAsia="仿宋_GB2312" w:cs="仿宋_GB2312"/>
          <w:sz w:val="32"/>
          <w:szCs w:val="32"/>
          <w:lang w:val="en-US"/>
        </w:rPr>
        <w:t>9</w:t>
      </w:r>
      <w:r>
        <w:rPr>
          <w:rFonts w:hint="eastAsia" w:ascii="仿宋_GB2312" w:hAnsi="仿宋_GB2312" w:eastAsia="仿宋_GB2312" w:cs="仿宋_GB2312"/>
          <w:sz w:val="32"/>
          <w:szCs w:val="32"/>
          <w:lang w:val="en-US" w:eastAsia="zh-CN"/>
        </w:rPr>
        <w:t>8.8</w:t>
      </w:r>
      <w:r>
        <w:rPr>
          <w:rFonts w:hint="eastAsia" w:ascii="仿宋_GB2312" w:hAnsi="仿宋_GB2312" w:eastAsia="仿宋_GB2312" w:cs="仿宋_GB2312"/>
          <w:sz w:val="32"/>
          <w:szCs w:val="32"/>
        </w:rPr>
        <w:drawing>
          <wp:inline distT="0" distB="0" distL="114300" distR="114300">
            <wp:extent cx="97790" cy="161290"/>
            <wp:effectExtent l="0" t="0" r="16510" b="10160"/>
            <wp:docPr id="5"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pic:cNvPicPr>
                      <a:picLocks noChangeAspect="1"/>
                    </pic:cNvPicPr>
                  </pic:nvPicPr>
                  <pic:blipFill>
                    <a:blip r:embed="rId6"/>
                    <a:stretch>
                      <a:fillRect/>
                    </a:stretch>
                  </pic:blipFill>
                  <pic:spPr>
                    <a:xfrm>
                      <a:off x="0" y="0"/>
                      <a:ext cx="97790" cy="161290"/>
                    </a:xfrm>
                    <a:prstGeom prst="rect">
                      <a:avLst/>
                    </a:prstGeom>
                    <a:noFill/>
                    <a:ln>
                      <a:noFill/>
                    </a:ln>
                  </pic:spPr>
                </pic:pic>
              </a:graphicData>
            </a:graphic>
          </wp:inline>
        </w:drawing>
      </w:r>
      <w:r>
        <w:rPr>
          <w:rFonts w:hint="eastAsia" w:ascii="仿宋_GB2312" w:hAnsi="仿宋_GB2312" w:eastAsia="仿宋_GB2312" w:cs="仿宋_GB2312"/>
          <w:sz w:val="32"/>
          <w:szCs w:val="32"/>
        </w:rPr>
        <w:t>；公用经费</w:t>
      </w:r>
      <w:r>
        <w:rPr>
          <w:rFonts w:hint="eastAsia" w:ascii="仿宋_GB2312" w:hAnsi="仿宋_GB2312" w:eastAsia="仿宋_GB2312" w:cs="仿宋_GB2312"/>
          <w:sz w:val="32"/>
          <w:szCs w:val="32"/>
          <w:lang w:val="en-US" w:eastAsia="zh-CN"/>
        </w:rPr>
        <w:t>3.5</w:t>
      </w:r>
      <w:r>
        <w:rPr>
          <w:rFonts w:hint="eastAsia" w:ascii="仿宋_GB2312" w:hAnsi="仿宋_GB2312" w:eastAsia="仿宋_GB2312" w:cs="仿宋_GB2312"/>
          <w:sz w:val="32"/>
          <w:szCs w:val="32"/>
        </w:rPr>
        <w:t>万元，占</w:t>
      </w: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rPr>
        <w:drawing>
          <wp:inline distT="0" distB="0" distL="114300" distR="114300">
            <wp:extent cx="97790" cy="161290"/>
            <wp:effectExtent l="0" t="0" r="16510" b="10160"/>
            <wp:docPr id="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
                    <pic:cNvPicPr>
                      <a:picLocks noChangeAspect="1"/>
                    </pic:cNvPicPr>
                  </pic:nvPicPr>
                  <pic:blipFill>
                    <a:blip r:embed="rId6"/>
                    <a:stretch>
                      <a:fillRect/>
                    </a:stretch>
                  </pic:blipFill>
                  <pic:spPr>
                    <a:xfrm>
                      <a:off x="0" y="0"/>
                      <a:ext cx="97790" cy="161290"/>
                    </a:xfrm>
                    <a:prstGeom prst="rect">
                      <a:avLst/>
                    </a:prstGeom>
                    <a:noFill/>
                    <a:ln>
                      <a:noFill/>
                    </a:ln>
                  </pic:spPr>
                </pic:pic>
              </a:graphicData>
            </a:graphic>
          </wp:inline>
        </w:drawing>
      </w:r>
      <w:r>
        <w:rPr>
          <w:rFonts w:hint="eastAsia" w:ascii="仿宋_GB2312" w:hAnsi="仿宋_GB2312" w:eastAsia="仿宋_GB2312" w:cs="仿宋_GB2312"/>
          <w:sz w:val="32"/>
          <w:szCs w:val="32"/>
          <w:lang w:eastAsia="zh-CN"/>
        </w:rPr>
        <w:t>。</w:t>
      </w:r>
    </w:p>
    <w:p w14:paraId="0D5D58BE">
      <w:pPr>
        <w:pStyle w:val="4"/>
        <w:ind w:left="752"/>
        <w:rPr>
          <w:rFonts w:hint="eastAsia" w:ascii="黑体" w:hAnsi="黑体" w:eastAsia="黑体" w:cs="黑体"/>
          <w:color w:val="auto"/>
        </w:rPr>
      </w:pPr>
      <w:r>
        <w:rPr>
          <w:rFonts w:hint="eastAsia" w:ascii="黑体" w:hAnsi="黑体" w:eastAsia="黑体" w:cs="黑体"/>
          <w:color w:val="auto"/>
        </w:rPr>
        <w:t>七、"三公"经费支出预算情况说明</w:t>
      </w:r>
    </w:p>
    <w:p w14:paraId="22E55E90">
      <w:pPr>
        <w:pStyle w:val="4"/>
        <w:spacing w:before="158" w:line="344" w:lineRule="auto"/>
        <w:ind w:left="108" w:right="101" w:firstLine="640"/>
        <w:jc w:val="both"/>
        <w:rPr>
          <w:rFonts w:hint="eastAsia" w:ascii="仿宋_GB2312" w:hAnsi="仿宋_GB2312" w:eastAsia="仿宋_GB2312" w:cs="仿宋_GB2312"/>
          <w:color w:val="auto"/>
          <w:spacing w:val="21"/>
        </w:rPr>
      </w:pPr>
      <w:r>
        <w:rPr>
          <w:rFonts w:hint="eastAsia" w:ascii="仿宋_GB2312" w:hAnsi="仿宋_GB2312" w:eastAsia="仿宋_GB2312" w:cs="仿宋_GB2312"/>
          <w:color w:val="auto"/>
          <w:spacing w:val="21"/>
          <w:lang w:eastAsia="zh-CN"/>
        </w:rPr>
        <w:t>周口市川汇区城南办事处后王营小学</w:t>
      </w:r>
      <w:r>
        <w:rPr>
          <w:rFonts w:hint="eastAsia" w:ascii="仿宋_GB2312" w:hAnsi="仿宋_GB2312" w:eastAsia="仿宋_GB2312" w:cs="仿宋_GB2312"/>
          <w:color w:val="auto"/>
          <w:spacing w:val="21"/>
        </w:rPr>
        <w:t>小学</w:t>
      </w:r>
      <w:r>
        <w:rPr>
          <w:rFonts w:hint="eastAsia" w:ascii="仿宋_GB2312" w:hAnsi="仿宋_GB2312" w:eastAsia="仿宋_GB2312" w:cs="仿宋_GB2312"/>
          <w:color w:val="auto"/>
          <w:spacing w:val="21"/>
          <w:lang w:eastAsia="zh-CN"/>
        </w:rPr>
        <w:t>202</w:t>
      </w:r>
      <w:r>
        <w:rPr>
          <w:rFonts w:hint="eastAsia" w:ascii="仿宋_GB2312" w:hAnsi="仿宋_GB2312" w:eastAsia="仿宋_GB2312" w:cs="仿宋_GB2312"/>
          <w:color w:val="auto"/>
          <w:spacing w:val="21"/>
          <w:lang w:val="en-US" w:eastAsia="zh-CN"/>
        </w:rPr>
        <w:t>6</w:t>
      </w:r>
      <w:r>
        <w:rPr>
          <w:rFonts w:hint="eastAsia" w:ascii="仿宋_GB2312" w:hAnsi="仿宋_GB2312" w:eastAsia="仿宋_GB2312" w:cs="仿宋_GB2312"/>
          <w:color w:val="auto"/>
          <w:spacing w:val="21"/>
        </w:rPr>
        <w:t>年"三公"经费预算为0万元。</w:t>
      </w:r>
      <w:r>
        <w:rPr>
          <w:rFonts w:hint="eastAsia" w:ascii="仿宋_GB2312" w:hAnsi="仿宋_GB2312" w:eastAsia="仿宋_GB2312" w:cs="仿宋_GB2312"/>
          <w:color w:val="auto"/>
          <w:spacing w:val="21"/>
          <w:lang w:eastAsia="zh-CN"/>
        </w:rPr>
        <w:t>202</w:t>
      </w:r>
      <w:r>
        <w:rPr>
          <w:rFonts w:hint="eastAsia" w:ascii="仿宋_GB2312" w:hAnsi="仿宋_GB2312" w:eastAsia="仿宋_GB2312" w:cs="仿宋_GB2312"/>
          <w:color w:val="auto"/>
          <w:spacing w:val="21"/>
          <w:lang w:val="en-US" w:eastAsia="zh-CN"/>
        </w:rPr>
        <w:t>6</w:t>
      </w:r>
      <w:r>
        <w:rPr>
          <w:rFonts w:hint="eastAsia" w:ascii="仿宋_GB2312" w:hAnsi="仿宋_GB2312" w:eastAsia="仿宋_GB2312" w:cs="仿宋_GB2312"/>
          <w:color w:val="auto"/>
          <w:spacing w:val="21"/>
        </w:rPr>
        <w:t>年“三公”经费支出预算数与</w:t>
      </w:r>
      <w:r>
        <w:rPr>
          <w:rFonts w:ascii="仿宋_GB2312" w:hAnsi="仿宋_GB2312" w:eastAsia="仿宋_GB2312" w:cs="仿宋_GB2312"/>
          <w:color w:val="auto"/>
          <w:spacing w:val="21"/>
        </w:rPr>
        <w:t>202</w:t>
      </w:r>
      <w:r>
        <w:rPr>
          <w:rFonts w:hint="eastAsia" w:ascii="仿宋_GB2312" w:hAnsi="仿宋_GB2312" w:eastAsia="仿宋_GB2312" w:cs="仿宋_GB2312"/>
          <w:color w:val="auto"/>
          <w:spacing w:val="21"/>
          <w:lang w:val="en-US" w:eastAsia="zh-CN"/>
        </w:rPr>
        <w:t>5</w:t>
      </w:r>
      <w:r>
        <w:rPr>
          <w:rFonts w:hint="eastAsia" w:ascii="仿宋_GB2312" w:hAnsi="仿宋_GB2312" w:eastAsia="仿宋_GB2312" w:cs="仿宋_GB2312"/>
          <w:color w:val="auto"/>
          <w:spacing w:val="21"/>
        </w:rPr>
        <w:t>年预算数持平，增长0</w:t>
      </w:r>
      <w:r>
        <w:rPr>
          <w:rFonts w:hint="eastAsia" w:ascii="仿宋_GB2312" w:hAnsi="仿宋_GB2312" w:eastAsia="仿宋_GB2312" w:cs="仿宋_GB2312"/>
          <w:color w:val="auto"/>
          <w:spacing w:val="21"/>
        </w:rPr>
        <w:drawing>
          <wp:inline distT="0" distB="0" distL="114300" distR="114300">
            <wp:extent cx="97790" cy="161290"/>
            <wp:effectExtent l="0" t="0" r="16510" b="10160"/>
            <wp:docPr id="6"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3"/>
                    <pic:cNvPicPr>
                      <a:picLocks noChangeAspect="1"/>
                    </pic:cNvPicPr>
                  </pic:nvPicPr>
                  <pic:blipFill>
                    <a:blip r:embed="rId6"/>
                    <a:stretch>
                      <a:fillRect/>
                    </a:stretch>
                  </pic:blipFill>
                  <pic:spPr>
                    <a:xfrm>
                      <a:off x="0" y="0"/>
                      <a:ext cx="97790" cy="161290"/>
                    </a:xfrm>
                    <a:prstGeom prst="rect">
                      <a:avLst/>
                    </a:prstGeom>
                    <a:noFill/>
                    <a:ln>
                      <a:noFill/>
                    </a:ln>
                  </pic:spPr>
                </pic:pic>
              </a:graphicData>
            </a:graphic>
          </wp:inline>
        </w:drawing>
      </w:r>
      <w:r>
        <w:rPr>
          <w:rFonts w:hint="eastAsia" w:ascii="仿宋_GB2312" w:hAnsi="仿宋_GB2312" w:eastAsia="仿宋_GB2312" w:cs="仿宋_GB2312"/>
          <w:color w:val="auto"/>
          <w:spacing w:val="21"/>
        </w:rPr>
        <w:t>。具体支出情况如下：</w:t>
      </w:r>
    </w:p>
    <w:p w14:paraId="3B4F4239">
      <w:pPr>
        <w:pStyle w:val="4"/>
        <w:spacing w:before="158" w:line="344" w:lineRule="auto"/>
        <w:ind w:left="108" w:right="101" w:firstLine="640"/>
        <w:jc w:val="both"/>
        <w:rPr>
          <w:rFonts w:hint="eastAsia" w:ascii="仿宋_GB2312" w:hAnsi="仿宋_GB2312" w:eastAsia="仿宋_GB2312" w:cs="仿宋_GB2312"/>
          <w:color w:val="auto"/>
          <w:spacing w:val="21"/>
        </w:rPr>
      </w:pPr>
      <w:r>
        <w:rPr>
          <w:rFonts w:hint="eastAsia" w:ascii="仿宋_GB2312" w:hAnsi="仿宋_GB2312" w:eastAsia="仿宋_GB2312" w:cs="仿宋_GB2312"/>
          <w:color w:val="auto"/>
          <w:spacing w:val="21"/>
        </w:rPr>
        <w:t>（一）因公出国（境）费0万元，主要用于单位工作人员公务出国（境）的住宿费、旅费、伙食补助费、杂费、培训费等支出。预算数比</w:t>
      </w:r>
      <w:r>
        <w:rPr>
          <w:rFonts w:ascii="仿宋_GB2312" w:hAnsi="仿宋_GB2312" w:eastAsia="仿宋_GB2312" w:cs="仿宋_GB2312"/>
          <w:color w:val="auto"/>
          <w:spacing w:val="21"/>
        </w:rPr>
        <w:t>202</w:t>
      </w:r>
      <w:r>
        <w:rPr>
          <w:rFonts w:hint="eastAsia" w:ascii="仿宋_GB2312" w:hAnsi="仿宋_GB2312" w:eastAsia="仿宋_GB2312" w:cs="仿宋_GB2312"/>
          <w:color w:val="auto"/>
          <w:spacing w:val="21"/>
          <w:lang w:val="en-US" w:eastAsia="zh-CN"/>
        </w:rPr>
        <w:t>5</w:t>
      </w:r>
      <w:r>
        <w:rPr>
          <w:rFonts w:hint="eastAsia" w:ascii="仿宋_GB2312" w:hAnsi="仿宋_GB2312" w:eastAsia="仿宋_GB2312" w:cs="仿宋_GB2312"/>
          <w:color w:val="auto"/>
          <w:spacing w:val="21"/>
        </w:rPr>
        <w:t>年增加0万元。</w:t>
      </w:r>
    </w:p>
    <w:p w14:paraId="52AB054C">
      <w:pPr>
        <w:pStyle w:val="4"/>
        <w:spacing w:before="158" w:line="344" w:lineRule="auto"/>
        <w:ind w:left="108" w:right="101" w:firstLine="640"/>
        <w:jc w:val="both"/>
        <w:rPr>
          <w:rFonts w:hint="eastAsia" w:ascii="仿宋_GB2312" w:hAnsi="仿宋_GB2312" w:eastAsia="仿宋_GB2312" w:cs="仿宋_GB2312"/>
          <w:color w:val="auto"/>
          <w:spacing w:val="21"/>
        </w:rPr>
      </w:pPr>
      <w:r>
        <w:rPr>
          <w:rFonts w:hint="eastAsia" w:ascii="仿宋_GB2312" w:hAnsi="仿宋_GB2312" w:eastAsia="仿宋_GB2312" w:cs="仿宋_GB2312"/>
          <w:color w:val="auto"/>
          <w:spacing w:val="21"/>
        </w:rPr>
        <w:t>（二）公务接待费0万元，主要用于按规定开支的各类公务接待（含外宾接待）支出。预算数比202</w:t>
      </w:r>
      <w:r>
        <w:rPr>
          <w:rFonts w:hint="eastAsia" w:ascii="仿宋_GB2312" w:hAnsi="仿宋_GB2312" w:eastAsia="仿宋_GB2312" w:cs="仿宋_GB2312"/>
          <w:color w:val="auto"/>
          <w:spacing w:val="21"/>
          <w:lang w:val="en-US" w:eastAsia="zh-CN"/>
        </w:rPr>
        <w:t>5</w:t>
      </w:r>
      <w:r>
        <w:rPr>
          <w:rFonts w:hint="eastAsia" w:ascii="仿宋_GB2312" w:hAnsi="仿宋_GB2312" w:eastAsia="仿宋_GB2312" w:cs="仿宋_GB2312"/>
          <w:color w:val="auto"/>
          <w:spacing w:val="21"/>
        </w:rPr>
        <w:t>年增加0万元。</w:t>
      </w:r>
    </w:p>
    <w:p w14:paraId="17FE8D6A">
      <w:pPr>
        <w:pStyle w:val="4"/>
        <w:spacing w:before="158" w:line="344" w:lineRule="auto"/>
        <w:ind w:left="108" w:right="101" w:firstLine="640"/>
        <w:jc w:val="both"/>
        <w:rPr>
          <w:rFonts w:hint="eastAsia" w:ascii="仿宋_GB2312" w:hAnsi="仿宋_GB2312" w:eastAsia="仿宋_GB2312" w:cs="仿宋_GB2312"/>
          <w:color w:val="auto"/>
          <w:spacing w:val="21"/>
        </w:rPr>
      </w:pPr>
      <w:r>
        <w:rPr>
          <w:rFonts w:hint="eastAsia" w:ascii="仿宋_GB2312" w:hAnsi="仿宋_GB2312" w:eastAsia="仿宋_GB2312" w:cs="仿宋_GB2312"/>
          <w:color w:val="auto"/>
          <w:spacing w:val="21"/>
        </w:rPr>
        <w:t>（三）公务用车购置及运行费0万元，其中，公务用车购置费0万元；公务用车运行维护费0万元，主要用于开展工作所需公务用车的燃料费、维修费、过路过桥费、保险费、安全奖励费用等支出。公务用车购置费预算数比202</w:t>
      </w:r>
      <w:r>
        <w:rPr>
          <w:rFonts w:hint="eastAsia" w:ascii="仿宋_GB2312" w:hAnsi="仿宋_GB2312" w:eastAsia="仿宋_GB2312" w:cs="仿宋_GB2312"/>
          <w:color w:val="auto"/>
          <w:spacing w:val="21"/>
          <w:lang w:val="en-US" w:eastAsia="zh-CN"/>
        </w:rPr>
        <w:t>5</w:t>
      </w:r>
      <w:r>
        <w:rPr>
          <w:rFonts w:hint="eastAsia" w:ascii="仿宋_GB2312" w:hAnsi="仿宋_GB2312" w:eastAsia="仿宋_GB2312" w:cs="仿宋_GB2312"/>
          <w:color w:val="auto"/>
          <w:spacing w:val="21"/>
        </w:rPr>
        <w:t>年增加0万元。公务用车运行维护费预算数比202</w:t>
      </w:r>
      <w:r>
        <w:rPr>
          <w:rFonts w:hint="eastAsia" w:ascii="仿宋_GB2312" w:hAnsi="仿宋_GB2312" w:eastAsia="仿宋_GB2312" w:cs="仿宋_GB2312"/>
          <w:color w:val="auto"/>
          <w:spacing w:val="21"/>
          <w:lang w:val="en-US" w:eastAsia="zh-CN"/>
        </w:rPr>
        <w:t>5</w:t>
      </w:r>
      <w:r>
        <w:rPr>
          <w:rFonts w:hint="eastAsia" w:ascii="仿宋_GB2312" w:hAnsi="仿宋_GB2312" w:eastAsia="仿宋_GB2312" w:cs="仿宋_GB2312"/>
          <w:color w:val="auto"/>
          <w:spacing w:val="21"/>
        </w:rPr>
        <w:t>年增加0万元。</w:t>
      </w:r>
    </w:p>
    <w:p w14:paraId="175844C5">
      <w:pPr>
        <w:pStyle w:val="4"/>
        <w:spacing w:before="191"/>
        <w:ind w:left="752"/>
        <w:rPr>
          <w:color w:val="auto"/>
        </w:rPr>
      </w:pPr>
      <w:r>
        <w:rPr>
          <w:rFonts w:hint="eastAsia" w:ascii="黑体" w:hAnsi="黑体" w:eastAsia="黑体" w:cs="黑体"/>
          <w:color w:val="auto"/>
        </w:rPr>
        <w:t>八、政府性基金预算支出预算情况说明</w:t>
      </w:r>
    </w:p>
    <w:p w14:paraId="7E8958DC">
      <w:pPr>
        <w:pStyle w:val="4"/>
        <w:spacing w:before="158" w:line="344" w:lineRule="auto"/>
        <w:ind w:left="108" w:right="101" w:firstLine="640"/>
        <w:jc w:val="both"/>
        <w:rPr>
          <w:rFonts w:hint="eastAsia" w:ascii="仿宋_GB2312" w:hAnsi="仿宋_GB2312" w:eastAsia="仿宋_GB2312" w:cs="仿宋_GB2312"/>
          <w:color w:val="auto"/>
          <w:spacing w:val="21"/>
        </w:rPr>
      </w:pPr>
      <w:r>
        <w:rPr>
          <w:rFonts w:hint="eastAsia" w:ascii="仿宋_GB2312" w:hAnsi="仿宋_GB2312" w:eastAsia="仿宋_GB2312" w:cs="仿宋_GB2312"/>
          <w:color w:val="auto"/>
          <w:spacing w:val="21"/>
        </w:rPr>
        <w:t>我单位</w:t>
      </w:r>
      <w:r>
        <w:rPr>
          <w:rFonts w:hint="eastAsia" w:ascii="仿宋_GB2312" w:hAnsi="仿宋_GB2312" w:eastAsia="仿宋_GB2312" w:cs="仿宋_GB2312"/>
          <w:color w:val="auto"/>
          <w:spacing w:val="21"/>
          <w:lang w:eastAsia="zh-CN"/>
        </w:rPr>
        <w:t>202</w:t>
      </w:r>
      <w:r>
        <w:rPr>
          <w:rFonts w:hint="eastAsia" w:ascii="仿宋_GB2312" w:hAnsi="仿宋_GB2312" w:eastAsia="仿宋_GB2312" w:cs="仿宋_GB2312"/>
          <w:color w:val="auto"/>
          <w:spacing w:val="21"/>
          <w:lang w:val="en-US" w:eastAsia="zh-CN"/>
        </w:rPr>
        <w:t>6</w:t>
      </w:r>
      <w:r>
        <w:rPr>
          <w:rFonts w:hint="eastAsia" w:ascii="仿宋_GB2312" w:hAnsi="仿宋_GB2312" w:eastAsia="仿宋_GB2312" w:cs="仿宋_GB2312"/>
          <w:color w:val="auto"/>
          <w:spacing w:val="21"/>
        </w:rPr>
        <w:t>年无使用政府性基金预算拨款安排的支出。</w:t>
      </w:r>
    </w:p>
    <w:p w14:paraId="64615344">
      <w:pPr>
        <w:pStyle w:val="4"/>
        <w:spacing w:before="191" w:line="344" w:lineRule="auto"/>
        <w:ind w:left="754"/>
        <w:rPr>
          <w:rFonts w:hint="eastAsia" w:ascii="黑体" w:hAnsi="黑体" w:eastAsia="黑体" w:cs="黑体"/>
          <w:color w:val="auto"/>
        </w:rPr>
      </w:pPr>
      <w:r>
        <w:rPr>
          <w:rFonts w:hint="eastAsia" w:ascii="黑体" w:hAnsi="黑体" w:eastAsia="黑体" w:cs="黑体"/>
          <w:color w:val="auto"/>
        </w:rPr>
        <w:t>九、其他重要事项情况说明</w:t>
      </w:r>
    </w:p>
    <w:p w14:paraId="447D85F7">
      <w:pPr>
        <w:pStyle w:val="3"/>
        <w:spacing w:before="88" w:line="344" w:lineRule="auto"/>
        <w:ind w:left="754"/>
        <w:rPr>
          <w:rFonts w:hint="eastAsia" w:ascii="仿宋_GB2312" w:hAnsi="仿宋_GB2312" w:eastAsia="仿宋_GB2312" w:cs="仿宋_GB2312"/>
          <w:color w:val="auto"/>
        </w:rPr>
      </w:pPr>
      <w:r>
        <w:rPr>
          <w:rFonts w:hint="eastAsia" w:ascii="仿宋_GB2312" w:hAnsi="仿宋_GB2312" w:eastAsia="仿宋_GB2312" w:cs="仿宋_GB2312"/>
          <w:color w:val="auto"/>
        </w:rPr>
        <w:t>(一)行政(事业)单位机构运转经费</w:t>
      </w:r>
    </w:p>
    <w:p w14:paraId="0166005F">
      <w:pPr>
        <w:pStyle w:val="4"/>
        <w:spacing w:before="158" w:line="344" w:lineRule="auto"/>
        <w:ind w:left="108" w:right="101" w:firstLine="640"/>
        <w:jc w:val="both"/>
        <w:rPr>
          <w:rFonts w:hint="eastAsia" w:ascii="仿宋_GB2312" w:hAnsi="仿宋_GB2312" w:eastAsia="仿宋_GB2312" w:cs="仿宋_GB2312"/>
          <w:color w:val="auto"/>
          <w:spacing w:val="21"/>
        </w:rPr>
      </w:pPr>
      <w:r>
        <w:rPr>
          <w:rFonts w:hint="eastAsia" w:ascii="仿宋_GB2312" w:hAnsi="仿宋_GB2312" w:eastAsia="仿宋_GB2312" w:cs="仿宋_GB2312"/>
          <w:color w:val="auto"/>
          <w:spacing w:val="21"/>
          <w:lang w:eastAsia="zh-CN"/>
        </w:rPr>
        <w:t>202</w:t>
      </w:r>
      <w:r>
        <w:rPr>
          <w:rFonts w:hint="eastAsia" w:ascii="仿宋_GB2312" w:hAnsi="仿宋_GB2312" w:eastAsia="仿宋_GB2312" w:cs="仿宋_GB2312"/>
          <w:color w:val="auto"/>
          <w:spacing w:val="21"/>
          <w:lang w:val="en-US" w:eastAsia="zh-CN"/>
        </w:rPr>
        <w:t>6</w:t>
      </w:r>
      <w:r>
        <w:rPr>
          <w:rFonts w:hint="eastAsia" w:ascii="仿宋_GB2312" w:hAnsi="仿宋_GB2312" w:eastAsia="仿宋_GB2312" w:cs="仿宋_GB2312"/>
          <w:color w:val="auto"/>
          <w:spacing w:val="21"/>
        </w:rPr>
        <w:t>年机关运行经费支出预算</w:t>
      </w:r>
      <w:r>
        <w:rPr>
          <w:rFonts w:hint="eastAsia" w:ascii="仿宋_GB2312" w:hAnsi="仿宋_GB2312" w:eastAsia="仿宋_GB2312" w:cs="仿宋_GB2312"/>
          <w:color w:val="auto"/>
          <w:spacing w:val="21"/>
          <w:lang w:val="en-US" w:eastAsia="zh-CN"/>
        </w:rPr>
        <w:t>3.5</w:t>
      </w:r>
      <w:r>
        <w:rPr>
          <w:rFonts w:hint="eastAsia" w:ascii="仿宋_GB2312" w:hAnsi="仿宋_GB2312" w:eastAsia="仿宋_GB2312" w:cs="仿宋_GB2312"/>
          <w:color w:val="auto"/>
          <w:spacing w:val="21"/>
        </w:rPr>
        <w:t>万元,主要保障机关机构正常运转及正常履职需要的工会经费和福利费等支出,比202</w:t>
      </w:r>
      <w:r>
        <w:rPr>
          <w:rFonts w:hint="eastAsia" w:ascii="仿宋_GB2312" w:hAnsi="仿宋_GB2312" w:eastAsia="仿宋_GB2312" w:cs="仿宋_GB2312"/>
          <w:color w:val="auto"/>
          <w:spacing w:val="21"/>
          <w:lang w:val="en-US" w:eastAsia="zh-CN"/>
        </w:rPr>
        <w:t>5</w:t>
      </w:r>
      <w:r>
        <w:rPr>
          <w:rFonts w:hint="eastAsia" w:ascii="仿宋_GB2312" w:hAnsi="仿宋_GB2312" w:eastAsia="仿宋_GB2312" w:cs="仿宋_GB2312"/>
          <w:color w:val="auto"/>
          <w:spacing w:val="21"/>
        </w:rPr>
        <w:t>年</w:t>
      </w:r>
      <w:r>
        <w:rPr>
          <w:rFonts w:hint="eastAsia" w:ascii="仿宋_GB2312" w:hAnsi="仿宋_GB2312" w:eastAsia="仿宋_GB2312" w:cs="仿宋_GB2312"/>
          <w:color w:val="auto"/>
          <w:spacing w:val="21"/>
          <w:lang w:eastAsia="zh-CN"/>
        </w:rPr>
        <w:t>减少</w:t>
      </w:r>
      <w:r>
        <w:rPr>
          <w:rFonts w:hint="eastAsia" w:ascii="仿宋_GB2312" w:hAnsi="仿宋_GB2312" w:eastAsia="仿宋_GB2312" w:cs="仿宋_GB2312"/>
          <w:color w:val="auto"/>
          <w:spacing w:val="21"/>
          <w:lang w:val="en-US" w:eastAsia="zh-CN"/>
        </w:rPr>
        <w:t>3</w:t>
      </w:r>
      <w:r>
        <w:rPr>
          <w:rFonts w:hint="eastAsia" w:ascii="仿宋_GB2312" w:hAnsi="仿宋_GB2312" w:eastAsia="仿宋_GB2312" w:cs="仿宋_GB2312"/>
          <w:color w:val="auto"/>
          <w:spacing w:val="21"/>
        </w:rPr>
        <w:t>万元,</w:t>
      </w:r>
      <w:r>
        <w:rPr>
          <w:rFonts w:hint="eastAsia" w:ascii="仿宋_GB2312" w:hAnsi="仿宋_GB2312" w:eastAsia="仿宋_GB2312" w:cs="仿宋_GB2312"/>
          <w:color w:val="auto"/>
          <w:spacing w:val="21"/>
          <w:lang w:eastAsia="zh-CN"/>
        </w:rPr>
        <w:t>减少</w:t>
      </w:r>
      <w:r>
        <w:rPr>
          <w:rFonts w:hint="eastAsia" w:ascii="仿宋_GB2312" w:hAnsi="仿宋_GB2312" w:eastAsia="仿宋_GB2312" w:cs="仿宋_GB2312"/>
          <w:color w:val="auto"/>
          <w:spacing w:val="21"/>
        </w:rPr>
        <w:t>了</w:t>
      </w:r>
      <w:r>
        <w:rPr>
          <w:rFonts w:hint="eastAsia" w:ascii="仿宋_GB2312" w:hAnsi="仿宋_GB2312" w:eastAsia="仿宋_GB2312" w:cs="仿宋_GB2312"/>
          <w:color w:val="auto"/>
          <w:spacing w:val="21"/>
          <w:lang w:val="en-US" w:eastAsia="zh-CN"/>
        </w:rPr>
        <w:t>53</w:t>
      </w:r>
      <w:r>
        <w:rPr>
          <w:rFonts w:hint="eastAsia" w:ascii="仿宋_GB2312" w:hAnsi="仿宋_GB2312" w:eastAsia="仿宋_GB2312" w:cs="仿宋_GB2312"/>
          <w:color w:val="auto"/>
          <w:spacing w:val="21"/>
          <w:lang w:val="en-US"/>
        </w:rPr>
        <w:t>%</w:t>
      </w:r>
      <w:r>
        <w:rPr>
          <w:rFonts w:hint="eastAsia" w:ascii="仿宋_GB2312" w:hAnsi="仿宋_GB2312" w:eastAsia="仿宋_GB2312" w:cs="仿宋_GB2312"/>
          <w:color w:val="auto"/>
          <w:spacing w:val="21"/>
        </w:rPr>
        <w:t>,主要原因:经费</w:t>
      </w:r>
      <w:r>
        <w:rPr>
          <w:rFonts w:hint="eastAsia" w:ascii="仿宋_GB2312" w:hAnsi="仿宋_GB2312" w:eastAsia="仿宋_GB2312" w:cs="仿宋_GB2312"/>
          <w:color w:val="auto"/>
          <w:spacing w:val="21"/>
          <w:lang w:eastAsia="zh-CN"/>
        </w:rPr>
        <w:t>减少</w:t>
      </w:r>
      <w:r>
        <w:rPr>
          <w:rFonts w:hint="eastAsia" w:ascii="仿宋_GB2312" w:hAnsi="仿宋_GB2312" w:eastAsia="仿宋_GB2312" w:cs="仿宋_GB2312"/>
          <w:color w:val="auto"/>
          <w:spacing w:val="21"/>
        </w:rPr>
        <w:t>。</w:t>
      </w:r>
    </w:p>
    <w:p w14:paraId="018ED39C">
      <w:pPr>
        <w:pStyle w:val="3"/>
        <w:spacing w:before="88"/>
        <w:ind w:left="752"/>
        <w:rPr>
          <w:rFonts w:hint="eastAsia" w:ascii="仿宋_GB2312" w:hAnsi="仿宋_GB2312" w:eastAsia="仿宋_GB2312" w:cs="仿宋_GB2312"/>
          <w:color w:val="auto"/>
        </w:rPr>
      </w:pPr>
      <w:r>
        <w:rPr>
          <w:rFonts w:hint="eastAsia" w:ascii="仿宋_GB2312" w:hAnsi="仿宋_GB2312" w:eastAsia="仿宋_GB2312" w:cs="仿宋_GB2312"/>
          <w:color w:val="auto"/>
        </w:rPr>
        <w:t>(二)政府采购支出情况</w:t>
      </w:r>
    </w:p>
    <w:p w14:paraId="7318A25D">
      <w:pPr>
        <w:pStyle w:val="4"/>
        <w:spacing w:before="158" w:line="344" w:lineRule="auto"/>
        <w:ind w:left="108" w:right="101" w:firstLine="640"/>
        <w:jc w:val="both"/>
        <w:rPr>
          <w:rFonts w:hint="eastAsia" w:ascii="仿宋_GB2312" w:hAnsi="仿宋_GB2312" w:eastAsia="仿宋_GB2312" w:cs="仿宋_GB2312"/>
          <w:color w:val="auto"/>
          <w:spacing w:val="21"/>
        </w:rPr>
      </w:pPr>
      <w:r>
        <w:rPr>
          <w:rFonts w:hint="eastAsia" w:ascii="仿宋_GB2312" w:hAnsi="仿宋_GB2312" w:eastAsia="仿宋_GB2312" w:cs="仿宋_GB2312"/>
          <w:color w:val="auto"/>
          <w:spacing w:val="21"/>
          <w:lang w:eastAsia="zh-CN"/>
        </w:rPr>
        <w:t>202</w:t>
      </w:r>
      <w:r>
        <w:rPr>
          <w:rFonts w:hint="eastAsia" w:ascii="仿宋_GB2312" w:hAnsi="仿宋_GB2312" w:eastAsia="仿宋_GB2312" w:cs="仿宋_GB2312"/>
          <w:color w:val="auto"/>
          <w:spacing w:val="21"/>
          <w:lang w:val="en-US" w:eastAsia="zh-CN"/>
        </w:rPr>
        <w:t>6</w:t>
      </w:r>
      <w:r>
        <w:rPr>
          <w:rFonts w:hint="eastAsia" w:ascii="仿宋_GB2312" w:hAnsi="仿宋_GB2312" w:eastAsia="仿宋_GB2312" w:cs="仿宋_GB2312"/>
          <w:color w:val="auto"/>
          <w:spacing w:val="21"/>
        </w:rPr>
        <w:t>年政府采购预算安排0万元,其中:政府采购货物预算0万元、政府采购工程预算0万元、政府采购服务预算0万元。</w:t>
      </w:r>
    </w:p>
    <w:p w14:paraId="3FFAD1C9">
      <w:pPr>
        <w:pStyle w:val="3"/>
        <w:spacing w:before="88"/>
        <w:ind w:left="752"/>
        <w:rPr>
          <w:rFonts w:hint="eastAsia" w:ascii="仿宋_GB2312" w:hAnsi="仿宋_GB2312" w:eastAsia="仿宋_GB2312" w:cs="仿宋_GB2312"/>
          <w:color w:val="auto"/>
        </w:rPr>
      </w:pPr>
      <w:r>
        <w:rPr>
          <w:rFonts w:hint="eastAsia" w:ascii="仿宋_GB2312" w:hAnsi="仿宋_GB2312" w:eastAsia="仿宋_GB2312" w:cs="仿宋_GB2312"/>
          <w:color w:val="auto"/>
        </w:rPr>
        <w:t>(三)绩效目标设置情况</w:t>
      </w:r>
    </w:p>
    <w:p w14:paraId="499D56DD">
      <w:pPr>
        <w:pStyle w:val="4"/>
        <w:spacing w:before="158" w:line="344" w:lineRule="auto"/>
        <w:ind w:left="108" w:right="101" w:firstLine="640"/>
        <w:jc w:val="both"/>
        <w:rPr>
          <w:rFonts w:hint="eastAsia" w:ascii="仿宋_GB2312" w:hAnsi="仿宋_GB2312" w:eastAsia="仿宋_GB2312" w:cs="仿宋_GB2312"/>
          <w:color w:val="auto"/>
          <w:spacing w:val="21"/>
        </w:rPr>
      </w:pPr>
      <w:r>
        <w:rPr>
          <w:rFonts w:hint="eastAsia" w:ascii="仿宋_GB2312" w:hAnsi="仿宋_GB2312" w:eastAsia="仿宋_GB2312" w:cs="仿宋_GB2312"/>
          <w:color w:val="auto"/>
          <w:spacing w:val="21"/>
          <w:lang w:eastAsia="zh-CN"/>
        </w:rPr>
        <w:t>202</w:t>
      </w:r>
      <w:r>
        <w:rPr>
          <w:rFonts w:hint="eastAsia" w:ascii="仿宋_GB2312" w:hAnsi="仿宋_GB2312" w:eastAsia="仿宋_GB2312" w:cs="仿宋_GB2312"/>
          <w:color w:val="auto"/>
          <w:spacing w:val="21"/>
          <w:lang w:val="en-US" w:eastAsia="zh-CN"/>
        </w:rPr>
        <w:t>6</w:t>
      </w:r>
      <w:r>
        <w:rPr>
          <w:rFonts w:hint="eastAsia" w:ascii="仿宋_GB2312" w:hAnsi="仿宋_GB2312" w:eastAsia="仿宋_GB2312" w:cs="仿宋_GB2312"/>
          <w:color w:val="auto"/>
          <w:spacing w:val="21"/>
        </w:rPr>
        <w:t>年预算项目均按要求编制了绩效目标,从项目产出、项目效益、满意度等方面设置了绩效指标,综合反映项目预期完成的数量、实效、质量,预期达到的社会经济效益、可持续影响以及服务对象满意度等情况。</w:t>
      </w:r>
    </w:p>
    <w:p w14:paraId="21EFDB59">
      <w:pPr>
        <w:pStyle w:val="3"/>
        <w:spacing w:before="88"/>
        <w:ind w:left="752"/>
        <w:rPr>
          <w:rFonts w:hint="eastAsia" w:ascii="仿宋_GB2312" w:hAnsi="仿宋_GB2312" w:eastAsia="仿宋_GB2312" w:cs="仿宋_GB2312"/>
          <w:color w:val="auto"/>
        </w:rPr>
      </w:pPr>
      <w:r>
        <w:rPr>
          <w:rFonts w:hint="eastAsia" w:ascii="仿宋_GB2312" w:hAnsi="仿宋_GB2312" w:eastAsia="仿宋_GB2312" w:cs="仿宋_GB2312"/>
          <w:color w:val="auto"/>
        </w:rPr>
        <w:t>(四)国有资产占用情况</w:t>
      </w:r>
    </w:p>
    <w:p w14:paraId="61E77462">
      <w:pPr>
        <w:pStyle w:val="4"/>
        <w:spacing w:before="158" w:line="344" w:lineRule="auto"/>
        <w:ind w:left="108" w:right="101" w:firstLine="640"/>
        <w:jc w:val="both"/>
        <w:rPr>
          <w:rFonts w:hint="eastAsia" w:ascii="仿宋_GB2312" w:hAnsi="仿宋_GB2312" w:eastAsia="仿宋_GB2312" w:cs="仿宋_GB2312"/>
          <w:color w:val="auto"/>
          <w:spacing w:val="21"/>
        </w:rPr>
      </w:pPr>
      <w:r>
        <w:rPr>
          <w:rFonts w:hint="eastAsia" w:ascii="仿宋_GB2312" w:hAnsi="仿宋_GB2312" w:eastAsia="仿宋_GB2312" w:cs="仿宋_GB2312"/>
          <w:color w:val="auto"/>
          <w:spacing w:val="21"/>
        </w:rPr>
        <w:t>202</w:t>
      </w:r>
      <w:r>
        <w:rPr>
          <w:rFonts w:hint="eastAsia" w:ascii="仿宋_GB2312" w:hAnsi="仿宋_GB2312" w:eastAsia="仿宋_GB2312" w:cs="仿宋_GB2312"/>
          <w:color w:val="auto"/>
          <w:spacing w:val="21"/>
          <w:lang w:val="en-US" w:eastAsia="zh-CN"/>
        </w:rPr>
        <w:t>5</w:t>
      </w:r>
      <w:r>
        <w:rPr>
          <w:rFonts w:hint="eastAsia" w:ascii="仿宋_GB2312" w:hAnsi="仿宋_GB2312" w:eastAsia="仿宋_GB2312" w:cs="仿宋_GB2312"/>
          <w:color w:val="auto"/>
          <w:spacing w:val="21"/>
        </w:rPr>
        <w:t>年期末</w:t>
      </w:r>
      <w:r>
        <w:rPr>
          <w:rFonts w:hint="eastAsia" w:ascii="仿宋_GB2312" w:hAnsi="仿宋_GB2312" w:eastAsia="仿宋_GB2312" w:cs="仿宋_GB2312"/>
          <w:color w:val="auto"/>
          <w:spacing w:val="21"/>
          <w:lang w:eastAsia="zh-CN"/>
        </w:rPr>
        <w:t>，</w:t>
      </w:r>
      <w:r>
        <w:rPr>
          <w:rFonts w:hint="eastAsia" w:ascii="仿宋_GB2312" w:hAnsi="仿宋_GB2312" w:eastAsia="仿宋_GB2312" w:cs="仿宋_GB2312"/>
          <w:color w:val="auto"/>
          <w:spacing w:val="21"/>
        </w:rPr>
        <w:t>共有车辆0辆,其中:一般公务用车0辆、一般执法执勤用车0辆、特种专业技术用车0辆,其他用车0辆;单价50万元以上通用设备0台(套),单位价值100万元以上专用设备0台(套)。</w:t>
      </w:r>
    </w:p>
    <w:p w14:paraId="1DF7B620">
      <w:pPr>
        <w:widowControl/>
        <w:jc w:val="left"/>
        <w:rPr>
          <w:rFonts w:hint="eastAsia" w:ascii="黑体" w:hAnsi="宋体" w:eastAsia="黑体" w:cs="宋体"/>
          <w:kern w:val="0"/>
          <w:sz w:val="28"/>
          <w:szCs w:val="28"/>
        </w:rPr>
      </w:pPr>
    </w:p>
    <w:p w14:paraId="56435497">
      <w:pPr>
        <w:jc w:val="center"/>
        <w:outlineLvl w:val="0"/>
        <w:rPr>
          <w:rFonts w:hint="eastAsia" w:ascii="黑体" w:hAnsi="黑体" w:eastAsia="黑体" w:cs="黑体"/>
          <w:sz w:val="48"/>
          <w:szCs w:val="48"/>
        </w:rPr>
      </w:pPr>
    </w:p>
    <w:p w14:paraId="45B95A1D">
      <w:pPr>
        <w:jc w:val="center"/>
        <w:outlineLvl w:val="0"/>
        <w:rPr>
          <w:rFonts w:hint="eastAsia" w:ascii="黑体" w:hAnsi="黑体" w:eastAsia="黑体" w:cs="黑体"/>
          <w:sz w:val="48"/>
          <w:szCs w:val="48"/>
        </w:rPr>
      </w:pPr>
    </w:p>
    <w:p w14:paraId="7C68254F">
      <w:pPr>
        <w:jc w:val="center"/>
        <w:outlineLvl w:val="0"/>
        <w:rPr>
          <w:rFonts w:hint="eastAsia" w:ascii="黑体" w:hAnsi="黑体" w:eastAsia="黑体" w:cs="黑体"/>
          <w:sz w:val="48"/>
          <w:szCs w:val="48"/>
        </w:rPr>
      </w:pPr>
    </w:p>
    <w:p w14:paraId="52BC0CB7">
      <w:pPr>
        <w:jc w:val="center"/>
        <w:outlineLvl w:val="0"/>
        <w:rPr>
          <w:rFonts w:hint="eastAsia" w:ascii="黑体" w:hAnsi="黑体" w:eastAsia="黑体" w:cs="黑体"/>
          <w:sz w:val="48"/>
          <w:szCs w:val="48"/>
        </w:rPr>
      </w:pPr>
    </w:p>
    <w:p w14:paraId="7C018184">
      <w:pPr>
        <w:jc w:val="center"/>
        <w:outlineLvl w:val="0"/>
        <w:rPr>
          <w:rFonts w:hint="eastAsia" w:ascii="黑体" w:hAnsi="黑体" w:eastAsia="黑体" w:cs="黑体"/>
          <w:sz w:val="48"/>
          <w:szCs w:val="48"/>
        </w:rPr>
      </w:pPr>
    </w:p>
    <w:p w14:paraId="5798F54F">
      <w:pPr>
        <w:jc w:val="center"/>
        <w:outlineLvl w:val="0"/>
        <w:rPr>
          <w:rFonts w:hint="eastAsia" w:ascii="黑体" w:hAnsi="黑体" w:eastAsia="黑体" w:cs="黑体"/>
          <w:sz w:val="48"/>
          <w:szCs w:val="48"/>
        </w:rPr>
      </w:pPr>
    </w:p>
    <w:p w14:paraId="558F6393">
      <w:pPr>
        <w:jc w:val="center"/>
        <w:outlineLvl w:val="0"/>
        <w:rPr>
          <w:rFonts w:hint="eastAsia" w:ascii="黑体" w:hAnsi="黑体" w:eastAsia="黑体" w:cs="黑体"/>
          <w:sz w:val="48"/>
          <w:szCs w:val="48"/>
        </w:rPr>
      </w:pPr>
    </w:p>
    <w:p w14:paraId="00EAB298">
      <w:pPr>
        <w:jc w:val="center"/>
        <w:outlineLvl w:val="0"/>
        <w:rPr>
          <w:rFonts w:hint="eastAsia" w:ascii="黑体" w:hAnsi="黑体" w:eastAsia="黑体" w:cs="黑体"/>
          <w:sz w:val="48"/>
          <w:szCs w:val="48"/>
        </w:rPr>
      </w:pPr>
    </w:p>
    <w:p w14:paraId="7539411C">
      <w:pPr>
        <w:jc w:val="center"/>
        <w:outlineLvl w:val="0"/>
        <w:rPr>
          <w:rFonts w:hint="eastAsia" w:ascii="黑体" w:hAnsi="黑体" w:eastAsia="黑体" w:cs="黑体"/>
          <w:sz w:val="48"/>
          <w:szCs w:val="48"/>
        </w:rPr>
      </w:pPr>
    </w:p>
    <w:p w14:paraId="69C6951B">
      <w:pPr>
        <w:jc w:val="center"/>
        <w:outlineLvl w:val="0"/>
        <w:rPr>
          <w:rFonts w:hint="eastAsia" w:ascii="黑体" w:hAnsi="黑体" w:eastAsia="黑体" w:cs="黑体"/>
          <w:sz w:val="48"/>
          <w:szCs w:val="48"/>
        </w:rPr>
      </w:pPr>
    </w:p>
    <w:p w14:paraId="17F0818B">
      <w:pPr>
        <w:jc w:val="center"/>
        <w:outlineLvl w:val="0"/>
        <w:rPr>
          <w:rFonts w:hint="eastAsia" w:ascii="黑体" w:hAnsi="黑体" w:eastAsia="黑体" w:cs="黑体"/>
          <w:sz w:val="48"/>
          <w:szCs w:val="48"/>
        </w:rPr>
      </w:pPr>
    </w:p>
    <w:p w14:paraId="3C7F9B5C">
      <w:pPr>
        <w:jc w:val="center"/>
        <w:outlineLvl w:val="0"/>
        <w:rPr>
          <w:rFonts w:hint="eastAsia" w:ascii="黑体" w:hAnsi="黑体" w:eastAsia="黑体" w:cs="黑体"/>
          <w:sz w:val="48"/>
          <w:szCs w:val="48"/>
        </w:rPr>
      </w:pPr>
    </w:p>
    <w:p w14:paraId="78CF46C2">
      <w:pPr>
        <w:pStyle w:val="2"/>
        <w:spacing w:before="19" w:line="249" w:lineRule="auto"/>
        <w:ind w:left="0" w:right="44"/>
        <w:rPr>
          <w:rFonts w:hint="eastAsia" w:ascii="黑体" w:hAnsi="黑体" w:eastAsia="黑体" w:cs="黑体"/>
          <w:color w:val="auto"/>
        </w:rPr>
      </w:pPr>
      <w:r>
        <w:rPr>
          <w:rFonts w:hint="eastAsia" w:ascii="黑体" w:hAnsi="黑体" w:eastAsia="黑体" w:cs="黑体"/>
          <w:color w:val="auto"/>
        </w:rPr>
        <w:t>第三部分</w:t>
      </w:r>
    </w:p>
    <w:p w14:paraId="49AB0ACA">
      <w:pPr>
        <w:pStyle w:val="2"/>
        <w:spacing w:before="19" w:line="249" w:lineRule="auto"/>
        <w:ind w:left="0" w:right="44"/>
        <w:rPr>
          <w:rFonts w:hint="eastAsia" w:ascii="黑体" w:hAnsi="黑体" w:eastAsia="黑体" w:cs="黑体"/>
          <w:color w:val="auto"/>
        </w:rPr>
      </w:pPr>
      <w:r>
        <w:rPr>
          <w:rFonts w:hint="eastAsia" w:ascii="黑体" w:hAnsi="黑体" w:eastAsia="黑体" w:cs="黑体"/>
          <w:color w:val="auto"/>
        </w:rPr>
        <w:t>名词解释</w:t>
      </w:r>
    </w:p>
    <w:p w14:paraId="3AACA3AA">
      <w:pPr>
        <w:pStyle w:val="4"/>
        <w:spacing w:before="158" w:line="344" w:lineRule="auto"/>
        <w:ind w:left="108" w:right="101" w:firstLine="640"/>
        <w:jc w:val="both"/>
        <w:rPr>
          <w:rFonts w:hint="eastAsia" w:ascii="仿宋_GB2312" w:hAnsi="仿宋_GB2312" w:eastAsia="仿宋_GB2312" w:cs="仿宋_GB2312"/>
          <w:color w:val="auto"/>
          <w:spacing w:val="21"/>
        </w:rPr>
      </w:pPr>
      <w:r>
        <w:rPr>
          <w:rFonts w:hint="eastAsia" w:ascii="仿宋_GB2312" w:hAnsi="仿宋_GB2312" w:eastAsia="仿宋_GB2312" w:cs="仿宋_GB2312"/>
          <w:color w:val="auto"/>
          <w:spacing w:val="21"/>
        </w:rPr>
        <w:t>一、财政拨款收入:是指区级财政当年拨付的资金;包括一般公共预算拨款、政府性基金预算拨款、国有资本经营预算拨款。</w:t>
      </w:r>
    </w:p>
    <w:p w14:paraId="23A54649">
      <w:pPr>
        <w:pStyle w:val="4"/>
        <w:spacing w:before="158" w:line="344" w:lineRule="auto"/>
        <w:ind w:left="108" w:right="101" w:firstLine="640"/>
        <w:jc w:val="both"/>
        <w:rPr>
          <w:rFonts w:hint="eastAsia" w:ascii="仿宋_GB2312" w:hAnsi="仿宋_GB2312" w:eastAsia="仿宋_GB2312" w:cs="仿宋_GB2312"/>
          <w:color w:val="auto"/>
          <w:spacing w:val="21"/>
        </w:rPr>
      </w:pPr>
      <w:r>
        <w:rPr>
          <w:rFonts w:hint="eastAsia" w:ascii="仿宋_GB2312" w:hAnsi="仿宋_GB2312" w:eastAsia="仿宋_GB2312" w:cs="仿宋_GB2312"/>
          <w:color w:val="auto"/>
          <w:spacing w:val="21"/>
        </w:rPr>
        <w:t>二、财政专户管理资金:是指缴入财政专户、实行专项管理的高中以上学费、住宿费、高校委托培养费、函大、电大、夜大及短训班培训费等教育收费。</w:t>
      </w:r>
    </w:p>
    <w:p w14:paraId="767192D1">
      <w:pPr>
        <w:pStyle w:val="4"/>
        <w:spacing w:before="158" w:line="344" w:lineRule="auto"/>
        <w:ind w:left="108" w:right="101" w:firstLine="640"/>
        <w:jc w:val="both"/>
        <w:rPr>
          <w:rFonts w:hint="eastAsia" w:ascii="仿宋_GB2312" w:hAnsi="仿宋_GB2312" w:eastAsia="仿宋_GB2312" w:cs="仿宋_GB2312"/>
          <w:color w:val="auto"/>
          <w:spacing w:val="21"/>
        </w:rPr>
      </w:pPr>
      <w:r>
        <w:rPr>
          <w:rFonts w:hint="eastAsia" w:ascii="仿宋_GB2312" w:hAnsi="仿宋_GB2312" w:eastAsia="仿宋_GB2312" w:cs="仿宋_GB2312"/>
          <w:color w:val="auto"/>
          <w:spacing w:val="21"/>
        </w:rPr>
        <w:t>三、事业收入:是指事业单位开展专业活动及辅助活动所取得的收入,不包括教育收费。</w:t>
      </w:r>
    </w:p>
    <w:p w14:paraId="1EAED18F">
      <w:pPr>
        <w:pStyle w:val="4"/>
        <w:spacing w:before="158" w:line="344" w:lineRule="auto"/>
        <w:ind w:left="108" w:right="101" w:firstLine="640"/>
        <w:jc w:val="both"/>
        <w:rPr>
          <w:rFonts w:hint="eastAsia" w:ascii="仿宋_GB2312" w:hAnsi="仿宋_GB2312" w:eastAsia="仿宋_GB2312" w:cs="仿宋_GB2312"/>
          <w:color w:val="auto"/>
          <w:spacing w:val="21"/>
        </w:rPr>
      </w:pPr>
      <w:r>
        <w:rPr>
          <w:rFonts w:hint="eastAsia" w:ascii="仿宋_GB2312" w:hAnsi="仿宋_GB2312" w:eastAsia="仿宋_GB2312" w:cs="仿宋_GB2312"/>
          <w:color w:val="auto"/>
          <w:spacing w:val="21"/>
        </w:rPr>
        <w:t>四、事业单位经营收入:是指事业单位在专业业务活动及其辅助活动之外开展非独立核算经营活动取得的收入。</w:t>
      </w:r>
    </w:p>
    <w:p w14:paraId="4A5E701C">
      <w:pPr>
        <w:pStyle w:val="4"/>
        <w:spacing w:before="158" w:line="344" w:lineRule="auto"/>
        <w:ind w:left="108" w:right="101" w:firstLine="640"/>
        <w:jc w:val="both"/>
        <w:rPr>
          <w:rFonts w:hint="eastAsia" w:ascii="仿宋_GB2312" w:hAnsi="仿宋_GB2312" w:eastAsia="仿宋_GB2312" w:cs="仿宋_GB2312"/>
          <w:color w:val="auto"/>
          <w:spacing w:val="21"/>
        </w:rPr>
      </w:pPr>
      <w:r>
        <w:rPr>
          <w:rFonts w:hint="eastAsia" w:ascii="仿宋_GB2312" w:hAnsi="仿宋_GB2312" w:eastAsia="仿宋_GB2312" w:cs="仿宋_GB2312"/>
          <w:color w:val="auto"/>
          <w:spacing w:val="21"/>
        </w:rPr>
        <w:t>五、其他收入:是指单位取得的除“财政拨款"、"事业收入"、"事业单位经营收入"等以外的收入。</w:t>
      </w:r>
    </w:p>
    <w:p w14:paraId="4044C987">
      <w:pPr>
        <w:pStyle w:val="4"/>
        <w:spacing w:before="158" w:line="344" w:lineRule="auto"/>
        <w:ind w:left="108" w:right="101" w:firstLine="640"/>
        <w:jc w:val="both"/>
        <w:rPr>
          <w:rFonts w:hint="eastAsia" w:ascii="仿宋_GB2312" w:hAnsi="仿宋_GB2312" w:eastAsia="仿宋_GB2312" w:cs="仿宋_GB2312"/>
          <w:color w:val="auto"/>
          <w:spacing w:val="21"/>
        </w:rPr>
      </w:pPr>
      <w:r>
        <w:rPr>
          <w:rFonts w:hint="eastAsia" w:ascii="仿宋_GB2312" w:hAnsi="仿宋_GB2312" w:eastAsia="仿宋_GB2312" w:cs="仿宋_GB2312"/>
          <w:color w:val="auto"/>
          <w:spacing w:val="21"/>
        </w:rPr>
        <w:t>六、用事业基金弥补收支差额:是指事业单位在当年的“财政拨款收入"、"事业收入"、"经营收入"和"其他收入"不足以安排当年支出的情况下,使用以前年度积累的事业基金(即事业单位以前各年度收支相抵后,按国家规定提取、用于弥补以后年度收支差额的基金)弥补当年收支缺口的资金。</w:t>
      </w:r>
    </w:p>
    <w:p w14:paraId="0CB94632">
      <w:pPr>
        <w:pStyle w:val="4"/>
        <w:spacing w:before="158" w:line="344" w:lineRule="auto"/>
        <w:ind w:left="108" w:right="101" w:firstLine="640"/>
        <w:jc w:val="both"/>
        <w:rPr>
          <w:rFonts w:hint="eastAsia" w:ascii="仿宋_GB2312" w:hAnsi="仿宋_GB2312" w:eastAsia="仿宋_GB2312" w:cs="仿宋_GB2312"/>
          <w:color w:val="auto"/>
          <w:spacing w:val="21"/>
        </w:rPr>
      </w:pPr>
      <w:r>
        <w:rPr>
          <w:rFonts w:hint="eastAsia" w:ascii="仿宋_GB2312" w:hAnsi="仿宋_GB2312" w:eastAsia="仿宋_GB2312" w:cs="仿宋_GB2312"/>
          <w:color w:val="auto"/>
          <w:spacing w:val="21"/>
        </w:rPr>
        <w:t>七、基本支出:是指为保障机构正常运转、完成日常工作任务所必需的开支,其内容包括人员经费和日常公用经费两部分。</w:t>
      </w:r>
    </w:p>
    <w:p w14:paraId="558829F8">
      <w:pPr>
        <w:pStyle w:val="4"/>
        <w:spacing w:before="158" w:line="344" w:lineRule="auto"/>
        <w:ind w:left="108" w:right="101" w:firstLine="640"/>
        <w:jc w:val="both"/>
        <w:rPr>
          <w:rFonts w:hint="eastAsia" w:ascii="仿宋_GB2312" w:hAnsi="仿宋_GB2312" w:eastAsia="仿宋_GB2312" w:cs="仿宋_GB2312"/>
          <w:color w:val="auto"/>
          <w:spacing w:val="21"/>
        </w:rPr>
      </w:pPr>
      <w:r>
        <w:rPr>
          <w:rFonts w:hint="eastAsia" w:ascii="仿宋_GB2312" w:hAnsi="仿宋_GB2312" w:eastAsia="仿宋_GB2312" w:cs="仿宋_GB2312"/>
          <w:color w:val="auto"/>
          <w:spacing w:val="21"/>
        </w:rPr>
        <w:t>八、项目支出:是指在基本支出之外,为完成特定的行政工作任务或事业发展目标所发生的支出。</w:t>
      </w:r>
    </w:p>
    <w:p w14:paraId="716A86EC">
      <w:pPr>
        <w:pStyle w:val="4"/>
        <w:spacing w:before="158" w:line="344" w:lineRule="auto"/>
        <w:ind w:left="108" w:right="101" w:firstLine="640"/>
        <w:jc w:val="both"/>
        <w:rPr>
          <w:rFonts w:hint="eastAsia" w:ascii="仿宋_GB2312" w:hAnsi="仿宋_GB2312" w:eastAsia="仿宋_GB2312" w:cs="仿宋_GB2312"/>
          <w:color w:val="auto"/>
          <w:spacing w:val="21"/>
        </w:rPr>
      </w:pPr>
      <w:r>
        <w:rPr>
          <w:rFonts w:hint="eastAsia" w:ascii="仿宋_GB2312" w:hAnsi="仿宋_GB2312" w:eastAsia="仿宋_GB2312" w:cs="仿宋_GB2312"/>
          <w:color w:val="auto"/>
          <w:spacing w:val="21"/>
        </w:rPr>
        <w:t>九、"三公"经费:是指纳入区级财政预算管理,单位使用财政拨款安排的因公出国(境)费、公务用车购置及运行费和公务接待费。其中,因公出国(境)费反映单位公务出国(境)的住宿费、旅费、伙食补助费、杂费、培训费等支出;公务用车购置及运行费反映单位公务用车购置费及租用费、燃料费、维修费、过路过桥费、保险费、安全奖励费用等支出;公务接待费反映单位按规定开支的各类公务接待(含外宾接待)支出。</w:t>
      </w:r>
    </w:p>
    <w:p w14:paraId="64708C91">
      <w:pPr>
        <w:pStyle w:val="4"/>
        <w:spacing w:before="158" w:line="344" w:lineRule="auto"/>
        <w:ind w:left="108" w:right="101" w:firstLine="640"/>
        <w:jc w:val="both"/>
        <w:rPr>
          <w:rFonts w:hint="eastAsia" w:ascii="仿宋_GB2312" w:hAnsi="仿宋_GB2312" w:eastAsia="仿宋_GB2312" w:cs="仿宋_GB2312"/>
          <w:color w:val="auto"/>
          <w:spacing w:val="21"/>
        </w:rPr>
      </w:pPr>
      <w:r>
        <w:rPr>
          <w:rFonts w:hint="eastAsia" w:ascii="仿宋_GB2312" w:hAnsi="仿宋_GB2312" w:eastAsia="仿宋_GB2312" w:cs="仿宋_GB2312"/>
          <w:color w:val="auto"/>
          <w:spacing w:val="21"/>
        </w:rPr>
        <w:t>十、行政(事业)单位机构运转经费情况:是指为保障单位(包括行政单位和事业单位)运行用于购买货物和服务的各项资金,包括办公及印刷费、邮电费、差旅费、会议费、福利费、日常维修费及一般设备购置费、办公用房水电费、办公用房取暖费、办公用房物业管理费、公务用车运行维护费以及其他费用。</w:t>
      </w:r>
    </w:p>
    <w:p w14:paraId="7A5D0626">
      <w:pPr>
        <w:widowControl/>
        <w:spacing w:line="590" w:lineRule="exact"/>
        <w:ind w:firstLine="420" w:firstLineChars="200"/>
        <w:jc w:val="left"/>
      </w:pPr>
      <w:bookmarkStart w:id="0" w:name="_GoBack"/>
      <w:bookmarkEnd w:id="0"/>
    </w:p>
    <w:sectPr>
      <w:pgSz w:w="11906" w:h="16838"/>
      <w:pgMar w:top="1928" w:right="1474" w:bottom="1701" w:left="1588"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PMingLiU">
    <w:panose1 w:val="02020500000000000000"/>
    <w:charset w:val="88"/>
    <w:family w:val="roman"/>
    <w:pitch w:val="default"/>
    <w:sig w:usb0="A00002FF" w:usb1="28CFFCFA" w:usb2="00000016" w:usb3="00000000" w:csb0="00100001" w:csb1="00000000"/>
  </w:font>
  <w:font w:name="Microsoft JhengHei">
    <w:panose1 w:val="020B0604030504040204"/>
    <w:charset w:val="88"/>
    <w:family w:val="swiss"/>
    <w:pitch w:val="default"/>
    <w:sig w:usb0="00000087" w:usb1="28AF4000" w:usb2="00000016" w:usb3="00000000" w:csb0="00100009"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D38581">
    <w:pPr>
      <w:pStyle w:val="5"/>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683B4D7">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- 21 -</w:t>
                          </w:r>
                          <w:r>
                            <w:rPr>
                              <w:rFonts w:hint="eastAsia"/>
                              <w:sz w:val="18"/>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fill on="f" focussize="0,0"/>
              <v:stroke on="f"/>
              <v:imagedata o:title=""/>
              <o:lock v:ext="edit" aspectratio="f"/>
              <v:textbox inset="0mm,0mm,0mm,0mm" style="mso-fit-shape-to-text:t;">
                <w:txbxContent>
                  <w:p w14:paraId="5683B4D7">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- 21 -</w:t>
                    </w:r>
                    <w:r>
                      <w:rPr>
                        <w:rFonts w:hint="eastAsia"/>
                        <w:sz w:val="18"/>
                      </w:rPr>
                      <w:fldChar w:fldCharType="end"/>
                    </w:r>
                  </w:p>
                </w:txbxContent>
              </v:textbox>
            </v:shape>
          </w:pict>
        </mc:Fallback>
      </mc:AlternateContent>
    </w: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2B06FA5">
                          <w:pPr>
                            <w:rPr>
                              <w:rFonts w:hint="eastAsia"/>
                            </w:rPr>
                          </w:pP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9Aknl8cBAACZAwAADgAAAAAAAAABACAAAAAeAQAAZHJzL2Uyb0RvYy54&#10;bWxQSwUGAAAAAAYABgBZAQAAVwUAAAAA&#10;">
              <v:fill on="f" focussize="0,0"/>
              <v:stroke on="f"/>
              <v:imagedata o:title=""/>
              <o:lock v:ext="edit" aspectratio="f"/>
              <v:textbox inset="0mm,0mm,0mm,0mm" style="mso-fit-shape-to-text:t;">
                <w:txbxContent>
                  <w:p w14:paraId="52B06FA5">
                    <w:pPr>
                      <w:rPr>
                        <w:rFonts w:hint="eastAsia"/>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B28419">
    <w:pPr>
      <w:pStyle w:val="5"/>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32E0A3A">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- 20 -</w:t>
                          </w:r>
                          <w:r>
                            <w:rPr>
                              <w:rFonts w:hint="eastAsia"/>
                              <w:sz w:val="18"/>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Eb5CgyQEAAJkDAAAOAAAAAAAAAAEAIAAAAB4BAABkcnMvZTJvRG9j&#10;LnhtbFBLBQYAAAAABgAGAFkBAABZBQAAAAA=&#10;">
              <v:fill on="f" focussize="0,0"/>
              <v:stroke on="f"/>
              <v:imagedata o:title=""/>
              <o:lock v:ext="edit" aspectratio="f"/>
              <v:textbox inset="0mm,0mm,0mm,0mm" style="mso-fit-shape-to-text:t;">
                <w:txbxContent>
                  <w:p w14:paraId="132E0A3A">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- 20 -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971BE17"/>
    <w:multiLevelType w:val="singleLevel"/>
    <w:tmpl w:val="5971BE17"/>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NhNGI1ZjE4YjRjMDJlNzIzNDgzZGNiZDU3NzU1OWMifQ=="/>
  </w:docVars>
  <w:rsids>
    <w:rsidRoot w:val="6D6A7604"/>
    <w:rsid w:val="003A18AF"/>
    <w:rsid w:val="00B366D6"/>
    <w:rsid w:val="015B5501"/>
    <w:rsid w:val="034839A6"/>
    <w:rsid w:val="055A4ED6"/>
    <w:rsid w:val="067A3FE7"/>
    <w:rsid w:val="073407F4"/>
    <w:rsid w:val="080067EB"/>
    <w:rsid w:val="08E6788B"/>
    <w:rsid w:val="09475E50"/>
    <w:rsid w:val="0AC46EF0"/>
    <w:rsid w:val="0BB356ED"/>
    <w:rsid w:val="0C2479D0"/>
    <w:rsid w:val="10B60ED9"/>
    <w:rsid w:val="12867DE2"/>
    <w:rsid w:val="12B04A66"/>
    <w:rsid w:val="138F2D25"/>
    <w:rsid w:val="16E60E90"/>
    <w:rsid w:val="187D53EA"/>
    <w:rsid w:val="1A312930"/>
    <w:rsid w:val="1C0F6CA1"/>
    <w:rsid w:val="1CFC7A22"/>
    <w:rsid w:val="1F325153"/>
    <w:rsid w:val="1FC61742"/>
    <w:rsid w:val="20B3409F"/>
    <w:rsid w:val="211B39F2"/>
    <w:rsid w:val="21BE0F4D"/>
    <w:rsid w:val="241C63FF"/>
    <w:rsid w:val="260E65F3"/>
    <w:rsid w:val="28E62A02"/>
    <w:rsid w:val="2968656D"/>
    <w:rsid w:val="2A202079"/>
    <w:rsid w:val="2A266B4F"/>
    <w:rsid w:val="2B520958"/>
    <w:rsid w:val="334C4768"/>
    <w:rsid w:val="339733AC"/>
    <w:rsid w:val="343F48DF"/>
    <w:rsid w:val="35D73F34"/>
    <w:rsid w:val="366F6862"/>
    <w:rsid w:val="3CA31014"/>
    <w:rsid w:val="4061721C"/>
    <w:rsid w:val="40C22C94"/>
    <w:rsid w:val="41390524"/>
    <w:rsid w:val="41821119"/>
    <w:rsid w:val="427F7E2D"/>
    <w:rsid w:val="429A4BE4"/>
    <w:rsid w:val="43195B8C"/>
    <w:rsid w:val="44D419AA"/>
    <w:rsid w:val="458D25B3"/>
    <w:rsid w:val="47295949"/>
    <w:rsid w:val="47B75973"/>
    <w:rsid w:val="481903DC"/>
    <w:rsid w:val="49D6446C"/>
    <w:rsid w:val="49FE675C"/>
    <w:rsid w:val="4C176130"/>
    <w:rsid w:val="4C706B20"/>
    <w:rsid w:val="4CDA00CC"/>
    <w:rsid w:val="4CFF2C5D"/>
    <w:rsid w:val="4D147C5C"/>
    <w:rsid w:val="4D702B4E"/>
    <w:rsid w:val="4D73619F"/>
    <w:rsid w:val="4DA92A9A"/>
    <w:rsid w:val="4E5F0C94"/>
    <w:rsid w:val="4E75041A"/>
    <w:rsid w:val="50AA734A"/>
    <w:rsid w:val="51730B5D"/>
    <w:rsid w:val="52A41CEF"/>
    <w:rsid w:val="52A5645F"/>
    <w:rsid w:val="537D3312"/>
    <w:rsid w:val="53A07C03"/>
    <w:rsid w:val="546C144D"/>
    <w:rsid w:val="54804E6C"/>
    <w:rsid w:val="58C504D1"/>
    <w:rsid w:val="597C2437"/>
    <w:rsid w:val="59AD11A6"/>
    <w:rsid w:val="59BF7377"/>
    <w:rsid w:val="5AAE0E58"/>
    <w:rsid w:val="5AD8307B"/>
    <w:rsid w:val="5BF31218"/>
    <w:rsid w:val="5D13683D"/>
    <w:rsid w:val="5EC67D81"/>
    <w:rsid w:val="5ECF26F0"/>
    <w:rsid w:val="5FB967D8"/>
    <w:rsid w:val="62CF5E0F"/>
    <w:rsid w:val="63BE0EB2"/>
    <w:rsid w:val="64A16520"/>
    <w:rsid w:val="650C6EA7"/>
    <w:rsid w:val="6723674C"/>
    <w:rsid w:val="67DF3F40"/>
    <w:rsid w:val="6835671C"/>
    <w:rsid w:val="69872FA0"/>
    <w:rsid w:val="6A872E95"/>
    <w:rsid w:val="6AC66F02"/>
    <w:rsid w:val="6D6A7604"/>
    <w:rsid w:val="6FD66A2F"/>
    <w:rsid w:val="70CE5958"/>
    <w:rsid w:val="71722787"/>
    <w:rsid w:val="72861E86"/>
    <w:rsid w:val="74312486"/>
    <w:rsid w:val="74F00B7D"/>
    <w:rsid w:val="750202C6"/>
    <w:rsid w:val="76DA76DF"/>
    <w:rsid w:val="778950C3"/>
    <w:rsid w:val="782F4F2E"/>
    <w:rsid w:val="7A55245C"/>
    <w:rsid w:val="7C504C5E"/>
    <w:rsid w:val="7C924A77"/>
    <w:rsid w:val="7D07647A"/>
    <w:rsid w:val="7D33726F"/>
    <w:rsid w:val="7EA51736"/>
    <w:rsid w:val="7F7459C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1" w:semiHidden="0" w:name="heading 1"/>
    <w:lsdException w:qFormat="1" w:uiPriority="0" w:name="heading 2"/>
    <w:lsdException w:qFormat="1" w:uiPriority="0" w:name="heading 3"/>
    <w:lsdException w:qFormat="1" w:unhideWhenUsed="0" w:uiPriority="1"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paragraph" w:styleId="2">
    <w:name w:val="heading 1"/>
    <w:basedOn w:val="1"/>
    <w:next w:val="1"/>
    <w:qFormat/>
    <w:uiPriority w:val="1"/>
    <w:pPr>
      <w:spacing w:before="25"/>
      <w:ind w:left="1950"/>
      <w:jc w:val="center"/>
      <w:outlineLvl w:val="0"/>
    </w:pPr>
    <w:rPr>
      <w:rFonts w:ascii="PMingLiU" w:hAnsi="PMingLiU" w:eastAsia="PMingLiU" w:cs="PMingLiU"/>
      <w:sz w:val="49"/>
      <w:szCs w:val="49"/>
      <w:lang w:val="zh-CN" w:eastAsia="zh-CN" w:bidi="zh-CN"/>
    </w:rPr>
  </w:style>
  <w:style w:type="paragraph" w:styleId="3">
    <w:name w:val="heading 4"/>
    <w:basedOn w:val="1"/>
    <w:next w:val="1"/>
    <w:qFormat/>
    <w:uiPriority w:val="1"/>
    <w:pPr>
      <w:ind w:left="749"/>
      <w:outlineLvl w:val="3"/>
    </w:pPr>
    <w:rPr>
      <w:rFonts w:ascii="Microsoft JhengHei" w:hAnsi="Microsoft JhengHei" w:eastAsia="Microsoft JhengHei" w:cs="Microsoft JhengHei"/>
      <w:b/>
      <w:bCs/>
      <w:sz w:val="32"/>
      <w:szCs w:val="32"/>
      <w:lang w:val="zh-CN" w:eastAsia="zh-CN" w:bidi="zh-CN"/>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4">
    <w:name w:val="Body Text"/>
    <w:basedOn w:val="1"/>
    <w:qFormat/>
    <w:uiPriority w:val="1"/>
    <w:rPr>
      <w:rFonts w:ascii="PMingLiU" w:hAnsi="PMingLiU" w:eastAsia="PMingLiU" w:cs="PMingLiU"/>
      <w:sz w:val="32"/>
      <w:szCs w:val="32"/>
      <w:lang w:val="zh-CN" w:eastAsia="zh-CN" w:bidi="zh-CN"/>
    </w:rPr>
  </w:style>
  <w:style w:type="paragraph" w:styleId="5">
    <w:name w:val="footer"/>
    <w:basedOn w:val="1"/>
    <w:unhideWhenUsed/>
    <w:qFormat/>
    <w:uiPriority w:val="99"/>
    <w:pPr>
      <w:tabs>
        <w:tab w:val="center" w:pos="4153"/>
        <w:tab w:val="right" w:pos="8306"/>
      </w:tabs>
      <w:snapToGrid w:val="0"/>
      <w:jc w:val="left"/>
    </w:pPr>
    <w:rPr>
      <w:sz w:val="18"/>
      <w:szCs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customStyle="1" w:styleId="9">
    <w:name w:val="font11"/>
    <w:qFormat/>
    <w:uiPriority w:val="0"/>
    <w:rPr>
      <w:rFonts w:hint="eastAsia" w:ascii="宋体" w:hAnsi="宋体" w:eastAsia="宋体" w:cs="宋体"/>
      <w:color w:val="000000"/>
      <w:sz w:val="20"/>
      <w:szCs w:val="20"/>
      <w:u w:val="none"/>
    </w:rPr>
  </w:style>
  <w:style w:type="character" w:customStyle="1" w:styleId="10">
    <w:name w:val="font01"/>
    <w:qFormat/>
    <w:uiPriority w:val="0"/>
    <w:rPr>
      <w:rFonts w:hint="eastAsia" w:ascii="宋体" w:hAnsi="宋体" w:eastAsia="宋体" w:cs="宋体"/>
      <w:color w:val="000000"/>
      <w:sz w:val="22"/>
      <w:szCs w:val="22"/>
      <w:u w:val="none"/>
    </w:rPr>
  </w:style>
  <w:style w:type="character" w:customStyle="1" w:styleId="11">
    <w:name w:val="font51"/>
    <w:qFormat/>
    <w:uiPriority w:val="0"/>
    <w:rPr>
      <w:rFonts w:hint="eastAsia" w:ascii="宋体" w:hAnsi="宋体" w:eastAsia="宋体" w:cs="宋体"/>
      <w:color w:val="000000"/>
      <w:sz w:val="24"/>
      <w:szCs w:val="24"/>
      <w:u w:val="none"/>
    </w:rPr>
  </w:style>
  <w:style w:type="character" w:customStyle="1" w:styleId="12">
    <w:name w:val="font41"/>
    <w:qFormat/>
    <w:uiPriority w:val="0"/>
    <w:rPr>
      <w:rFonts w:hint="eastAsia" w:ascii="宋体" w:hAnsi="宋体" w:eastAsia="宋体" w:cs="宋体"/>
      <w:color w:val="000000"/>
      <w:sz w:val="24"/>
      <w:szCs w:val="24"/>
      <w:u w:val="none"/>
    </w:rPr>
  </w:style>
  <w:style w:type="paragraph" w:customStyle="1" w:styleId="13">
    <w:name w:val="BodyText"/>
    <w:basedOn w:val="1"/>
    <w:qFormat/>
    <w:uiPriority w:val="99"/>
    <w:pPr>
      <w:spacing w:after="120"/>
    </w:p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2619</Words>
  <Characters>2787</Characters>
  <Lines>0</Lines>
  <Paragraphs>0</Paragraphs>
  <TotalTime>17</TotalTime>
  <ScaleCrop>false</ScaleCrop>
  <LinksUpToDate>false</LinksUpToDate>
  <CharactersWithSpaces>2795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2022-09-07T08:10:00Z</dcterms:created>
  <dc:creator>〽️</dc:creator>
  <cp:lastModifiedBy>W先生</cp:lastModifiedBy>
  <dcterms:modified xsi:type="dcterms:W3CDTF">2026-03-12T02:30:58Z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D51D5B04526F48DDA26943CB556BFB80</vt:lpwstr>
  </property>
  <property fmtid="{D5CDD505-2E9C-101B-9397-08002B2CF9AE}" pid="4" name="KSOTemplateDocerSaveRecord">
    <vt:lpwstr>eyJoZGlkIjoiMTE0NWIwYmJkMmIzZGZkOGVhNWU3ZDUyM2JmZjI2NzIiLCJ1c2VySWQiOiIzMzk3NDI0NzUifQ==</vt:lpwstr>
  </property>
</Properties>
</file>