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1A22C9">
      <w:pPr>
        <w:spacing w:before="38"/>
        <w:ind w:left="100" w:right="198" w:rightChars="90"/>
        <w:rPr>
          <w:sz w:val="31"/>
        </w:rPr>
      </w:pPr>
    </w:p>
    <w:p w14:paraId="55228148">
      <w:pPr>
        <w:pStyle w:val="6"/>
        <w:rPr>
          <w:sz w:val="20"/>
        </w:rPr>
      </w:pPr>
    </w:p>
    <w:p w14:paraId="1C280289">
      <w:pPr>
        <w:pStyle w:val="6"/>
        <w:rPr>
          <w:sz w:val="20"/>
        </w:rPr>
      </w:pPr>
    </w:p>
    <w:p w14:paraId="0E1ABCC9">
      <w:pPr>
        <w:pStyle w:val="6"/>
        <w:rPr>
          <w:sz w:val="20"/>
        </w:rPr>
      </w:pPr>
    </w:p>
    <w:p w14:paraId="4E5CD575">
      <w:pPr>
        <w:pStyle w:val="6"/>
        <w:rPr>
          <w:sz w:val="20"/>
        </w:rPr>
      </w:pPr>
    </w:p>
    <w:p w14:paraId="4983180C">
      <w:pPr>
        <w:pStyle w:val="6"/>
        <w:rPr>
          <w:sz w:val="20"/>
        </w:rPr>
      </w:pPr>
    </w:p>
    <w:p w14:paraId="3433CC41">
      <w:pPr>
        <w:pStyle w:val="6"/>
        <w:rPr>
          <w:color w:val="FF0000"/>
          <w:sz w:val="20"/>
        </w:rPr>
      </w:pPr>
    </w:p>
    <w:p w14:paraId="742C28A7">
      <w:pPr>
        <w:pStyle w:val="6"/>
        <w:rPr>
          <w:sz w:val="20"/>
        </w:rPr>
      </w:pPr>
    </w:p>
    <w:p w14:paraId="35F13FCF">
      <w:pPr>
        <w:pStyle w:val="6"/>
        <w:rPr>
          <w:sz w:val="20"/>
        </w:rPr>
      </w:pPr>
    </w:p>
    <w:p w14:paraId="15C44A23">
      <w:pPr>
        <w:pStyle w:val="6"/>
        <w:rPr>
          <w:sz w:val="20"/>
        </w:rPr>
      </w:pPr>
    </w:p>
    <w:p w14:paraId="0D69773A">
      <w:pPr>
        <w:pStyle w:val="6"/>
        <w:rPr>
          <w:sz w:val="20"/>
        </w:rPr>
      </w:pPr>
    </w:p>
    <w:p w14:paraId="1AEB0439">
      <w:pPr>
        <w:pStyle w:val="6"/>
        <w:rPr>
          <w:sz w:val="20"/>
        </w:rPr>
      </w:pPr>
    </w:p>
    <w:p w14:paraId="68647501">
      <w:pPr>
        <w:pStyle w:val="6"/>
        <w:rPr>
          <w:sz w:val="20"/>
        </w:rPr>
      </w:pPr>
    </w:p>
    <w:p w14:paraId="7C9A799B">
      <w:pPr>
        <w:pStyle w:val="6"/>
        <w:rPr>
          <w:sz w:val="20"/>
        </w:rPr>
      </w:pPr>
    </w:p>
    <w:p w14:paraId="0B1EAC6A">
      <w:pPr>
        <w:pStyle w:val="6"/>
        <w:spacing w:before="11"/>
        <w:rPr>
          <w:sz w:val="16"/>
        </w:rPr>
      </w:pPr>
    </w:p>
    <w:p w14:paraId="14ACCF0A">
      <w:pPr>
        <w:spacing w:before="75" w:line="225" w:lineRule="auto"/>
        <w:jc w:val="center"/>
        <w:rPr>
          <w:rFonts w:hint="eastAsia" w:ascii="黑体" w:hAnsi="黑体" w:eastAsia="黑体" w:cs="黑体"/>
          <w:b/>
          <w:bCs/>
          <w:sz w:val="54"/>
        </w:rPr>
      </w:pPr>
      <w:r>
        <w:rPr>
          <w:rFonts w:hint="eastAsia" w:ascii="黑体" w:hAnsi="黑体" w:eastAsia="黑体" w:cs="黑体"/>
          <w:b/>
          <w:bCs/>
          <w:sz w:val="54"/>
        </w:rPr>
        <w:t>周口市川汇区</w:t>
      </w:r>
    </w:p>
    <w:p w14:paraId="6AF9B6FE">
      <w:pPr>
        <w:spacing w:before="75" w:line="225" w:lineRule="auto"/>
        <w:jc w:val="center"/>
        <w:rPr>
          <w:rFonts w:hint="eastAsia" w:ascii="黑体" w:hAnsi="黑体" w:eastAsia="黑体" w:cs="黑体"/>
          <w:b/>
          <w:bCs/>
          <w:sz w:val="54"/>
        </w:rPr>
      </w:pPr>
      <w:r>
        <w:rPr>
          <w:rFonts w:hint="eastAsia" w:ascii="黑体" w:hAnsi="黑体" w:eastAsia="黑体" w:cs="黑体"/>
          <w:b/>
          <w:bCs/>
          <w:sz w:val="54"/>
          <w:lang w:val="en-US" w:eastAsia="zh-CN"/>
        </w:rPr>
        <w:t>太昊路办事处毛楼</w:t>
      </w:r>
      <w:r>
        <w:rPr>
          <w:rFonts w:hint="eastAsia" w:ascii="黑体" w:hAnsi="黑体" w:eastAsia="黑体" w:cs="黑体"/>
          <w:b/>
          <w:bCs/>
          <w:sz w:val="54"/>
        </w:rPr>
        <w:t>小学</w:t>
      </w:r>
    </w:p>
    <w:p w14:paraId="66E5B496">
      <w:pPr>
        <w:spacing w:before="75" w:line="225" w:lineRule="auto"/>
        <w:jc w:val="center"/>
        <w:rPr>
          <w:rFonts w:hint="eastAsia" w:ascii="黑体" w:hAnsi="黑体" w:eastAsia="黑体" w:cs="黑体"/>
          <w:b/>
          <w:bCs/>
          <w:sz w:val="54"/>
        </w:rPr>
      </w:pPr>
      <w:r>
        <w:rPr>
          <w:rFonts w:hint="eastAsia" w:ascii="黑体" w:hAnsi="黑体" w:eastAsia="黑体" w:cs="黑体"/>
          <w:b/>
          <w:bCs/>
          <w:sz w:val="54"/>
          <w:lang w:eastAsia="zh-CN"/>
        </w:rPr>
        <w:t>2026</w:t>
      </w:r>
      <w:r>
        <w:rPr>
          <w:rFonts w:hint="eastAsia" w:ascii="黑体" w:hAnsi="黑体" w:eastAsia="黑体" w:cs="黑体"/>
          <w:b/>
          <w:bCs/>
          <w:sz w:val="54"/>
        </w:rPr>
        <w:t>年度单位预算</w:t>
      </w:r>
    </w:p>
    <w:p w14:paraId="6D1C5F65">
      <w:pPr>
        <w:pStyle w:val="6"/>
        <w:rPr>
          <w:sz w:val="60"/>
        </w:rPr>
      </w:pPr>
    </w:p>
    <w:p w14:paraId="0FE23217">
      <w:pPr>
        <w:pStyle w:val="6"/>
        <w:rPr>
          <w:sz w:val="60"/>
        </w:rPr>
      </w:pPr>
    </w:p>
    <w:p w14:paraId="48A0A3CA">
      <w:pPr>
        <w:pStyle w:val="6"/>
        <w:rPr>
          <w:sz w:val="60"/>
        </w:rPr>
      </w:pPr>
    </w:p>
    <w:p w14:paraId="2D1BEDFC">
      <w:pPr>
        <w:pStyle w:val="6"/>
        <w:rPr>
          <w:sz w:val="60"/>
        </w:rPr>
      </w:pPr>
    </w:p>
    <w:p w14:paraId="6C0713AD">
      <w:pPr>
        <w:pStyle w:val="6"/>
        <w:rPr>
          <w:sz w:val="60"/>
        </w:rPr>
      </w:pPr>
    </w:p>
    <w:p w14:paraId="0DFA0117">
      <w:pPr>
        <w:pStyle w:val="6"/>
        <w:rPr>
          <w:sz w:val="60"/>
        </w:rPr>
      </w:pPr>
    </w:p>
    <w:p w14:paraId="1A5C7822">
      <w:pPr>
        <w:pStyle w:val="6"/>
        <w:rPr>
          <w:sz w:val="60"/>
        </w:rPr>
      </w:pPr>
    </w:p>
    <w:p w14:paraId="61459659">
      <w:pPr>
        <w:pStyle w:val="6"/>
        <w:spacing w:before="12"/>
        <w:rPr>
          <w:sz w:val="62"/>
        </w:rPr>
      </w:pPr>
    </w:p>
    <w:p w14:paraId="13DB5A2A">
      <w:pPr>
        <w:jc w:val="center"/>
        <w:rPr>
          <w:rFonts w:hint="eastAsia" w:ascii="黑体" w:hAnsi="黑体" w:eastAsia="黑体" w:cs="黑体"/>
          <w:sz w:val="34"/>
          <w:szCs w:val="34"/>
        </w:rPr>
      </w:pPr>
      <w:r>
        <w:rPr>
          <w:rFonts w:hint="eastAsia" w:ascii="黑体" w:hAnsi="黑体" w:eastAsia="黑体" w:cs="黑体"/>
          <w:sz w:val="34"/>
          <w:szCs w:val="34"/>
        </w:rPr>
        <w:t>二〇二</w:t>
      </w:r>
      <w:r>
        <w:rPr>
          <w:rFonts w:hint="eastAsia" w:ascii="黑体" w:hAnsi="黑体" w:eastAsia="黑体" w:cs="黑体"/>
          <w:sz w:val="34"/>
          <w:szCs w:val="34"/>
          <w:lang w:val="en-US" w:eastAsia="zh-CN"/>
        </w:rPr>
        <w:t>六</w:t>
      </w:r>
      <w:r>
        <w:rPr>
          <w:rFonts w:hint="eastAsia" w:ascii="黑体" w:hAnsi="黑体" w:eastAsia="黑体" w:cs="黑体"/>
          <w:sz w:val="34"/>
          <w:szCs w:val="34"/>
        </w:rPr>
        <w:t>年三月</w:t>
      </w:r>
    </w:p>
    <w:p w14:paraId="449D1EAA">
      <w:pPr>
        <w:jc w:val="center"/>
        <w:rPr>
          <w:sz w:val="34"/>
        </w:rPr>
        <w:sectPr>
          <w:type w:val="continuous"/>
          <w:pgSz w:w="12280" w:h="17110"/>
          <w:pgMar w:top="2098" w:right="1673" w:bottom="1984" w:left="1587" w:header="720" w:footer="720" w:gutter="0"/>
          <w:cols w:space="720" w:num="1"/>
        </w:sectPr>
      </w:pPr>
    </w:p>
    <w:p w14:paraId="2E27D393">
      <w:pPr>
        <w:pStyle w:val="2"/>
        <w:tabs>
          <w:tab w:val="left" w:pos="1138"/>
        </w:tabs>
        <w:spacing w:before="70" w:line="500" w:lineRule="exact"/>
        <w:ind w:left="365"/>
      </w:pPr>
      <w:r>
        <w:rPr>
          <w:rFonts w:hint="eastAsia" w:ascii="宋体" w:hAnsi="宋体" w:eastAsia="宋体" w:cs="宋体"/>
          <w:b/>
          <w:bCs/>
        </w:rPr>
        <w:t>目</w:t>
      </w:r>
      <w:r>
        <w:rPr>
          <w:rFonts w:hint="eastAsia" w:ascii="宋体" w:hAnsi="宋体" w:eastAsia="宋体" w:cs="宋体"/>
          <w:b/>
          <w:bCs/>
        </w:rPr>
        <w:tab/>
      </w:r>
      <w:r>
        <w:rPr>
          <w:rFonts w:hint="eastAsia" w:ascii="宋体" w:hAnsi="宋体" w:eastAsia="宋体" w:cs="宋体"/>
          <w:b/>
          <w:bCs/>
        </w:rPr>
        <w:t>录</w:t>
      </w:r>
    </w:p>
    <w:p w14:paraId="1C5F0ABD">
      <w:pPr>
        <w:pStyle w:val="6"/>
        <w:spacing w:line="500" w:lineRule="exact"/>
        <w:rPr>
          <w:sz w:val="69"/>
        </w:rPr>
      </w:pPr>
    </w:p>
    <w:p w14:paraId="1599892E">
      <w:pPr>
        <w:pStyle w:val="6"/>
        <w:spacing w:before="1" w:line="500" w:lineRule="exact"/>
        <w:ind w:left="755"/>
        <w:rPr>
          <w:rFonts w:hint="eastAsia" w:ascii="黑体" w:hAnsi="黑体" w:eastAsia="黑体" w:cs="黑体"/>
        </w:rPr>
      </w:pPr>
      <w:r>
        <w:rPr>
          <w:rFonts w:hint="eastAsia" w:ascii="黑体" w:hAnsi="黑体" w:eastAsia="黑体" w:cs="黑体"/>
        </w:rPr>
        <w:t>第一部分</w:t>
      </w:r>
      <w:r>
        <w:rPr>
          <w:rFonts w:hint="eastAsia" w:ascii="黑体" w:hAnsi="黑体" w:eastAsia="黑体" w:cs="黑体"/>
          <w:lang w:val="en-US"/>
        </w:rPr>
        <w:t xml:space="preserve"> </w:t>
      </w:r>
      <w:r>
        <w:rPr>
          <w:rFonts w:hint="eastAsia" w:ascii="黑体" w:hAnsi="黑体" w:eastAsia="黑体" w:cs="黑体"/>
        </w:rPr>
        <w:t>周口市川汇区</w:t>
      </w:r>
      <w:r>
        <w:rPr>
          <w:rFonts w:hint="eastAsia" w:ascii="黑体" w:hAnsi="黑体" w:eastAsia="黑体" w:cs="黑体"/>
          <w:b w:val="0"/>
          <w:bCs w:val="0"/>
          <w:sz w:val="32"/>
          <w:szCs w:val="52"/>
          <w:lang w:val="en-US" w:eastAsia="zh-CN"/>
        </w:rPr>
        <w:t>太昊路办事处毛楼</w:t>
      </w:r>
      <w:r>
        <w:rPr>
          <w:rFonts w:hint="eastAsia" w:ascii="黑体" w:hAnsi="黑体" w:eastAsia="黑体" w:cs="黑体"/>
        </w:rPr>
        <w:t>小学概况</w:t>
      </w:r>
    </w:p>
    <w:p w14:paraId="406B6758">
      <w:pPr>
        <w:pStyle w:val="6"/>
        <w:spacing w:before="193"/>
        <w:ind w:left="755"/>
        <w:rPr>
          <w:rFonts w:hint="eastAsia" w:ascii="仿宋_GB2312" w:hAnsi="仿宋_GB2312" w:eastAsia="仿宋_GB2312" w:cs="仿宋_GB2312"/>
        </w:rPr>
      </w:pPr>
      <w:r>
        <w:rPr>
          <w:rFonts w:hint="eastAsia" w:ascii="仿宋_GB2312" w:hAnsi="仿宋_GB2312" w:eastAsia="仿宋_GB2312" w:cs="仿宋_GB2312"/>
        </w:rPr>
        <w:t>一、主要职责</w:t>
      </w:r>
    </w:p>
    <w:p w14:paraId="5D4A3C9F">
      <w:pPr>
        <w:pStyle w:val="6"/>
        <w:spacing w:before="191" w:line="344" w:lineRule="auto"/>
        <w:ind w:left="754"/>
        <w:rPr>
          <w:rFonts w:hint="eastAsia" w:ascii="黑体" w:hAnsi="黑体" w:eastAsia="黑体" w:cs="黑体"/>
        </w:rPr>
      </w:pPr>
      <w:r>
        <w:rPr>
          <w:rFonts w:hint="eastAsia" w:ascii="仿宋_GB2312" w:hAnsi="仿宋_GB2312" w:eastAsia="仿宋_GB2312" w:cs="仿宋_GB2312"/>
        </w:rPr>
        <w:t>二、单位所属预算单位构成情况</w:t>
      </w:r>
    </w:p>
    <w:p w14:paraId="4BF41D71">
      <w:pPr>
        <w:pStyle w:val="6"/>
        <w:spacing w:before="1" w:line="344" w:lineRule="auto"/>
        <w:ind w:left="754"/>
        <w:rPr>
          <w:rFonts w:hint="eastAsia" w:ascii="黑体" w:hAnsi="黑体" w:eastAsia="黑体" w:cs="黑体"/>
        </w:rPr>
      </w:pPr>
      <w:r>
        <w:rPr>
          <w:rFonts w:hint="eastAsia" w:ascii="黑体" w:hAnsi="黑体" w:eastAsia="黑体" w:cs="黑体"/>
        </w:rPr>
        <w:t>第二部分</w:t>
      </w:r>
      <w:r>
        <w:rPr>
          <w:rFonts w:hint="eastAsia" w:ascii="黑体" w:hAnsi="黑体" w:eastAsia="黑体" w:cs="黑体"/>
          <w:lang w:val="en-US"/>
        </w:rPr>
        <w:t xml:space="preserve"> </w:t>
      </w:r>
      <w:r>
        <w:rPr>
          <w:rFonts w:hint="eastAsia" w:ascii="黑体" w:hAnsi="黑体" w:eastAsia="黑体" w:cs="黑体"/>
        </w:rPr>
        <w:t>周口市川汇区</w:t>
      </w:r>
      <w:r>
        <w:rPr>
          <w:rFonts w:hint="eastAsia" w:ascii="黑体" w:hAnsi="黑体" w:eastAsia="黑体" w:cs="黑体"/>
          <w:b w:val="0"/>
          <w:bCs w:val="0"/>
          <w:sz w:val="32"/>
          <w:szCs w:val="52"/>
          <w:lang w:val="en-US" w:eastAsia="zh-CN"/>
        </w:rPr>
        <w:t>太昊路办事处毛楼</w:t>
      </w:r>
      <w:r>
        <w:rPr>
          <w:rFonts w:hint="eastAsia" w:ascii="黑体" w:hAnsi="黑体" w:eastAsia="黑体" w:cs="黑体"/>
        </w:rPr>
        <w:t>小学</w:t>
      </w:r>
      <w:r>
        <w:rPr>
          <w:rFonts w:hint="eastAsia" w:ascii="黑体" w:hAnsi="黑体" w:eastAsia="黑体" w:cs="黑体"/>
          <w:lang w:eastAsia="zh-CN"/>
        </w:rPr>
        <w:t>2026</w:t>
      </w:r>
      <w:r>
        <w:rPr>
          <w:rFonts w:hint="eastAsia" w:ascii="黑体" w:hAnsi="黑体" w:eastAsia="黑体" w:cs="黑体"/>
        </w:rPr>
        <w:t>年单位预算情况说明</w:t>
      </w:r>
    </w:p>
    <w:p w14:paraId="24E3DB13">
      <w:pPr>
        <w:pStyle w:val="6"/>
        <w:spacing w:before="1" w:line="344" w:lineRule="auto"/>
        <w:ind w:left="754"/>
        <w:rPr>
          <w:rFonts w:hint="eastAsia" w:ascii="黑体" w:hAnsi="黑体" w:eastAsia="黑体" w:cs="黑体"/>
          <w:lang w:val="en-US" w:eastAsia="zh-CN"/>
        </w:rPr>
      </w:pPr>
      <w:r>
        <w:rPr>
          <w:rFonts w:hint="eastAsia" w:ascii="黑体" w:hAnsi="黑体" w:eastAsia="黑体" w:cs="黑体"/>
        </w:rPr>
        <w:t>第三部分</w:t>
      </w:r>
      <w:r>
        <w:rPr>
          <w:rFonts w:hint="eastAsia" w:ascii="黑体" w:hAnsi="黑体" w:eastAsia="黑体" w:cs="黑体"/>
          <w:lang w:val="en-US"/>
        </w:rPr>
        <w:t xml:space="preserve"> </w:t>
      </w:r>
      <w:r>
        <w:rPr>
          <w:rFonts w:hint="eastAsia" w:ascii="黑体" w:hAnsi="黑体" w:eastAsia="黑体" w:cs="黑体"/>
        </w:rPr>
        <w:t>名词解释</w:t>
      </w:r>
      <w:r>
        <w:rPr>
          <w:rFonts w:hint="eastAsia" w:ascii="黑体" w:hAnsi="黑体" w:eastAsia="黑体" w:cs="黑体"/>
          <w:lang w:val="en-US" w:eastAsia="zh-CN"/>
        </w:rPr>
        <w:t xml:space="preserve"> </w:t>
      </w:r>
    </w:p>
    <w:p w14:paraId="631DF08A">
      <w:pPr>
        <w:pStyle w:val="6"/>
        <w:spacing w:before="1" w:line="344" w:lineRule="auto"/>
        <w:ind w:left="754"/>
        <w:rPr>
          <w:rFonts w:hint="eastAsia" w:ascii="仿宋_GB2312" w:hAnsi="仿宋_GB2312" w:eastAsia="仿宋_GB2312" w:cs="仿宋_GB2312"/>
        </w:rPr>
      </w:pPr>
      <w:r>
        <w:rPr>
          <w:rFonts w:hint="eastAsia" w:ascii="仿宋_GB2312" w:hAnsi="仿宋_GB2312" w:eastAsia="仿宋_GB2312" w:cs="仿宋_GB2312"/>
        </w:rPr>
        <w:t>附件:周口市川汇区</w:t>
      </w:r>
      <w:r>
        <w:rPr>
          <w:rFonts w:hint="eastAsia" w:ascii="仿宋_GB2312" w:hAnsi="仿宋_GB2312" w:eastAsia="仿宋_GB2312" w:cs="仿宋_GB2312"/>
          <w:lang w:val="en-US" w:eastAsia="zh-CN"/>
        </w:rPr>
        <w:t>太昊路</w:t>
      </w:r>
      <w:r>
        <w:rPr>
          <w:rFonts w:hint="eastAsia" w:ascii="仿宋_GB2312" w:hAnsi="仿宋_GB2312" w:eastAsia="仿宋_GB2312" w:cs="仿宋_GB2312"/>
        </w:rPr>
        <w:t>办事处</w:t>
      </w:r>
      <w:r>
        <w:rPr>
          <w:rFonts w:hint="eastAsia" w:ascii="仿宋_GB2312" w:hAnsi="仿宋_GB2312" w:eastAsia="仿宋_GB2312" w:cs="仿宋_GB2312"/>
          <w:lang w:val="en-US" w:eastAsia="zh-CN"/>
        </w:rPr>
        <w:t>毛楼</w:t>
      </w:r>
      <w:r>
        <w:rPr>
          <w:rFonts w:hint="eastAsia" w:ascii="仿宋_GB2312" w:hAnsi="仿宋_GB2312" w:eastAsia="仿宋_GB2312" w:cs="仿宋_GB2312"/>
        </w:rPr>
        <w:t>小学</w:t>
      </w:r>
      <w:r>
        <w:rPr>
          <w:rFonts w:hint="eastAsia" w:ascii="仿宋_GB2312" w:hAnsi="仿宋_GB2312" w:eastAsia="仿宋_GB2312" w:cs="仿宋_GB2312"/>
          <w:lang w:eastAsia="zh-CN"/>
        </w:rPr>
        <w:t>2026</w:t>
      </w:r>
      <w:r>
        <w:rPr>
          <w:rFonts w:hint="eastAsia" w:ascii="仿宋_GB2312" w:hAnsi="仿宋_GB2312" w:eastAsia="仿宋_GB2312" w:cs="仿宋_GB2312"/>
        </w:rPr>
        <w:t>单位预算表</w:t>
      </w:r>
    </w:p>
    <w:p w14:paraId="47DC21E7">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一、</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年部门收支预算表</w:t>
      </w:r>
    </w:p>
    <w:p w14:paraId="6CF85D88">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二、</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年部门收入预算表</w:t>
      </w:r>
    </w:p>
    <w:p w14:paraId="5DB818C0">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三、</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年部门支出预算表</w:t>
      </w:r>
    </w:p>
    <w:p w14:paraId="18095121">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四、</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年财政拨款收支预算表</w:t>
      </w:r>
    </w:p>
    <w:p w14:paraId="79A0FAB7">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五、</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年一般公共预算支出预算表</w:t>
      </w:r>
    </w:p>
    <w:p w14:paraId="7020FD13">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六、</w:t>
      </w:r>
      <w:r>
        <w:rPr>
          <w:rFonts w:hint="eastAsia" w:ascii="仿宋_GB2312" w:hAnsi="仿宋_GB2312" w:eastAsia="仿宋_GB2312" w:cs="仿宋_GB2312"/>
          <w:lang w:val="en-US" w:eastAsia="zh-CN"/>
        </w:rPr>
        <w:t>2026 年</w:t>
      </w:r>
      <w:r>
        <w:rPr>
          <w:rFonts w:hint="eastAsia" w:ascii="仿宋_GB2312" w:hAnsi="仿宋_GB2312" w:eastAsia="仿宋_GB2312" w:cs="仿宋_GB2312"/>
          <w:lang w:val="en-US"/>
        </w:rPr>
        <w:t>一般公共预算基本支出表</w:t>
      </w:r>
    </w:p>
    <w:p w14:paraId="30C4A6F3">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七、</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年支出经济分类汇总表</w:t>
      </w:r>
    </w:p>
    <w:p w14:paraId="5B978499">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八、</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年一般公共预算“三公”经费预算表</w:t>
      </w:r>
    </w:p>
    <w:p w14:paraId="100BB367">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九、</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年政府性基金支出预算表</w:t>
      </w:r>
    </w:p>
    <w:p w14:paraId="549BD50D">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十、项目支出预算表</w:t>
      </w:r>
    </w:p>
    <w:p w14:paraId="3268247E">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十一、本级部门（单位）整体绩效目标表</w:t>
      </w:r>
    </w:p>
    <w:p w14:paraId="10986A28">
      <w:pPr>
        <w:pStyle w:val="6"/>
        <w:spacing w:before="193"/>
        <w:ind w:left="755"/>
        <w:rPr>
          <w:rFonts w:hint="eastAsia" w:ascii="仿宋_GB2312" w:hAnsi="仿宋_GB2312" w:eastAsia="仿宋_GB2312" w:cs="仿宋_GB2312"/>
          <w:lang w:val="en-US"/>
        </w:rPr>
      </w:pPr>
      <w:r>
        <w:rPr>
          <w:rFonts w:hint="eastAsia" w:ascii="仿宋_GB2312" w:hAnsi="仿宋_GB2312" w:eastAsia="仿宋_GB2312" w:cs="仿宋_GB2312"/>
          <w:lang w:val="en-US"/>
        </w:rPr>
        <w:t>十二、</w:t>
      </w:r>
      <w:r>
        <w:rPr>
          <w:rFonts w:hint="eastAsia" w:ascii="仿宋_GB2312" w:hAnsi="仿宋_GB2312" w:eastAsia="仿宋_GB2312" w:cs="仿宋_GB2312"/>
          <w:lang w:val="en-US" w:eastAsia="zh-CN"/>
        </w:rPr>
        <w:t>2026</w:t>
      </w:r>
      <w:r>
        <w:rPr>
          <w:rFonts w:hint="eastAsia" w:ascii="仿宋_GB2312" w:hAnsi="仿宋_GB2312" w:eastAsia="仿宋_GB2312" w:cs="仿宋_GB2312"/>
          <w:lang w:val="en-US"/>
        </w:rPr>
        <w:t xml:space="preserve"> 年部门预算项目绩效目标表</w:t>
      </w:r>
    </w:p>
    <w:p w14:paraId="442AF6A0">
      <w:pPr>
        <w:pStyle w:val="6"/>
        <w:spacing w:before="193"/>
        <w:ind w:left="755"/>
        <w:rPr>
          <w:rFonts w:hint="eastAsia" w:ascii="仿宋_GB2312" w:hAnsi="仿宋_GB2312" w:eastAsia="仿宋_GB2312" w:cs="仿宋_GB2312"/>
          <w:lang w:val="en-US"/>
        </w:rPr>
        <w:sectPr>
          <w:pgSz w:w="12100" w:h="16980"/>
          <w:pgMar w:top="2098" w:right="1474" w:bottom="1984" w:left="1587" w:header="720" w:footer="720" w:gutter="0"/>
          <w:cols w:space="720" w:num="1"/>
        </w:sectPr>
      </w:pPr>
    </w:p>
    <w:p w14:paraId="40B7160D">
      <w:pPr>
        <w:pStyle w:val="2"/>
        <w:spacing w:before="124"/>
        <w:ind w:right="1899"/>
        <w:rPr>
          <w:rFonts w:hint="eastAsia" w:ascii="黑体" w:hAnsi="黑体" w:eastAsia="黑体" w:cs="黑体"/>
        </w:rPr>
      </w:pPr>
      <w:r>
        <w:rPr>
          <w:rFonts w:hint="eastAsia" w:ascii="黑体" w:hAnsi="黑体" w:eastAsia="黑体" w:cs="黑体"/>
        </w:rPr>
        <w:t>第一部分</w:t>
      </w:r>
    </w:p>
    <w:p w14:paraId="70D8B931">
      <w:pPr>
        <w:spacing w:before="25"/>
        <w:ind w:left="1950" w:right="1949"/>
        <w:jc w:val="center"/>
        <w:rPr>
          <w:rFonts w:hint="eastAsia" w:ascii="黑体" w:hAnsi="黑体" w:eastAsia="黑体" w:cs="黑体"/>
          <w:sz w:val="49"/>
        </w:rPr>
      </w:pPr>
      <w:r>
        <w:rPr>
          <w:rFonts w:hint="eastAsia" w:ascii="黑体" w:hAnsi="黑体" w:eastAsia="黑体" w:cs="黑体"/>
          <w:sz w:val="49"/>
        </w:rPr>
        <w:t>周口市川汇区</w:t>
      </w:r>
      <w:r>
        <w:rPr>
          <w:rFonts w:hint="eastAsia" w:ascii="黑体" w:hAnsi="黑体" w:eastAsia="黑体" w:cs="黑体"/>
          <w:sz w:val="49"/>
          <w:lang w:val="en-US" w:eastAsia="zh-CN"/>
        </w:rPr>
        <w:t>太昊路</w:t>
      </w:r>
      <w:r>
        <w:rPr>
          <w:rFonts w:hint="eastAsia" w:ascii="黑体" w:hAnsi="黑体" w:eastAsia="黑体" w:cs="黑体"/>
          <w:sz w:val="49"/>
        </w:rPr>
        <w:t>办事处</w:t>
      </w:r>
      <w:r>
        <w:rPr>
          <w:rFonts w:hint="eastAsia" w:ascii="黑体" w:hAnsi="黑体" w:eastAsia="黑体" w:cs="黑体"/>
          <w:sz w:val="49"/>
          <w:lang w:val="en-US" w:eastAsia="zh-CN"/>
        </w:rPr>
        <w:t>毛楼</w:t>
      </w:r>
      <w:r>
        <w:rPr>
          <w:rFonts w:hint="eastAsia" w:ascii="黑体" w:hAnsi="黑体" w:eastAsia="黑体" w:cs="黑体"/>
          <w:sz w:val="49"/>
        </w:rPr>
        <w:t>小学概况</w:t>
      </w:r>
    </w:p>
    <w:p w14:paraId="3C11D3D9">
      <w:pPr>
        <w:pStyle w:val="6"/>
        <w:spacing w:before="8"/>
        <w:rPr>
          <w:sz w:val="55"/>
        </w:rPr>
      </w:pPr>
    </w:p>
    <w:p w14:paraId="0FEE2CF4">
      <w:pPr>
        <w:numPr>
          <w:ilvl w:val="0"/>
          <w:numId w:val="1"/>
        </w:numPr>
        <w:spacing w:line="344" w:lineRule="auto"/>
        <w:ind w:left="768"/>
        <w:rPr>
          <w:rFonts w:hint="eastAsia" w:ascii="黑体" w:hAnsi="黑体" w:eastAsia="黑体" w:cs="黑体"/>
          <w:b/>
          <w:sz w:val="33"/>
        </w:rPr>
      </w:pPr>
      <w:r>
        <w:rPr>
          <w:rFonts w:hint="eastAsia" w:ascii="黑体" w:hAnsi="黑体" w:eastAsia="黑体" w:cs="黑体"/>
          <w:b/>
          <w:sz w:val="33"/>
        </w:rPr>
        <w:t>主要职责</w:t>
      </w:r>
    </w:p>
    <w:p w14:paraId="210B9665">
      <w:pPr>
        <w:pStyle w:val="5"/>
        <w:spacing w:before="40" w:line="344" w:lineRule="auto"/>
        <w:ind w:left="0" w:firstLine="643" w:firstLineChars="200"/>
        <w:rPr>
          <w:rFonts w:hint="eastAsia" w:ascii="仿宋_GB2312" w:hAnsi="仿宋_GB2312" w:eastAsia="仿宋_GB2312" w:cs="仿宋_GB2312"/>
        </w:rPr>
      </w:pPr>
      <w:r>
        <w:rPr>
          <w:rFonts w:hint="eastAsia" w:ascii="仿宋_GB2312" w:hAnsi="仿宋_GB2312" w:eastAsia="仿宋_GB2312" w:cs="仿宋_GB2312"/>
        </w:rPr>
        <w:t>(一)机构设置情况</w:t>
      </w:r>
    </w:p>
    <w:p w14:paraId="1DA64210">
      <w:pPr>
        <w:pStyle w:val="6"/>
        <w:spacing w:before="158" w:line="344" w:lineRule="auto"/>
        <w:ind w:left="108" w:right="101" w:firstLine="640"/>
        <w:jc w:val="both"/>
        <w:rPr>
          <w:rFonts w:hint="eastAsia" w:ascii="仿宋_GB2312" w:hAnsi="仿宋_GB2312" w:eastAsia="仿宋_GB2312" w:cs="仿宋_GB2312"/>
        </w:rPr>
      </w:pPr>
      <w:r>
        <w:rPr>
          <w:rFonts w:hint="eastAsia" w:ascii="仿宋_GB2312" w:hAnsi="仿宋_GB2312" w:eastAsia="仿宋_GB2312" w:cs="仿宋_GB2312"/>
          <w:spacing w:val="11"/>
          <w:w w:val="95"/>
        </w:rPr>
        <w:t>周口市川汇区</w:t>
      </w:r>
      <w:r>
        <w:rPr>
          <w:rFonts w:hint="eastAsia" w:ascii="仿宋_GB2312" w:hAnsi="仿宋_GB2312" w:eastAsia="仿宋_GB2312" w:cs="仿宋_GB2312"/>
          <w:spacing w:val="11"/>
          <w:w w:val="95"/>
          <w:lang w:val="en-US" w:eastAsia="zh-CN"/>
        </w:rPr>
        <w:t>太昊路</w:t>
      </w:r>
      <w:r>
        <w:rPr>
          <w:rFonts w:hint="eastAsia" w:ascii="仿宋_GB2312" w:hAnsi="仿宋_GB2312" w:eastAsia="仿宋_GB2312" w:cs="仿宋_GB2312"/>
          <w:spacing w:val="11"/>
          <w:w w:val="95"/>
        </w:rPr>
        <w:t>办事处</w:t>
      </w:r>
      <w:r>
        <w:rPr>
          <w:rFonts w:hint="eastAsia" w:ascii="仿宋_GB2312" w:hAnsi="仿宋_GB2312" w:eastAsia="仿宋_GB2312" w:cs="仿宋_GB2312"/>
          <w:spacing w:val="11"/>
          <w:w w:val="95"/>
          <w:lang w:val="en-US" w:eastAsia="zh-CN"/>
        </w:rPr>
        <w:t>毛楼</w:t>
      </w:r>
      <w:r>
        <w:rPr>
          <w:rFonts w:hint="eastAsia" w:ascii="仿宋_GB2312" w:hAnsi="仿宋_GB2312" w:eastAsia="仿宋_GB2312" w:cs="仿宋_GB2312"/>
          <w:spacing w:val="11"/>
          <w:w w:val="95"/>
        </w:rPr>
        <w:t>小学基本情况是川汇区教体局直属的一所公办小学，属财政二级预算管理单位，我校</w:t>
      </w:r>
      <w:r>
        <w:rPr>
          <w:rFonts w:hint="eastAsia" w:ascii="仿宋_GB2312" w:hAnsi="仿宋_GB2312" w:eastAsia="仿宋_GB2312" w:cs="仿宋_GB2312"/>
          <w:spacing w:val="8"/>
        </w:rPr>
        <w:t>编制数</w:t>
      </w:r>
      <w:r>
        <w:rPr>
          <w:rFonts w:hint="eastAsia" w:ascii="仿宋_GB2312" w:hAnsi="仿宋_GB2312" w:eastAsia="仿宋_GB2312" w:cs="仿宋_GB2312"/>
          <w:lang w:val="en-US" w:eastAsia="zh-CN"/>
        </w:rPr>
        <w:t>10</w:t>
      </w:r>
      <w:r>
        <w:rPr>
          <w:rFonts w:hint="eastAsia" w:ascii="仿宋_GB2312" w:hAnsi="仿宋_GB2312" w:eastAsia="仿宋_GB2312" w:cs="仿宋_GB2312"/>
          <w:spacing w:val="8"/>
        </w:rPr>
        <w:t>人，实有在职人数</w:t>
      </w:r>
      <w:r>
        <w:rPr>
          <w:rFonts w:hint="eastAsia" w:ascii="仿宋_GB2312" w:hAnsi="仿宋_GB2312" w:eastAsia="仿宋_GB2312" w:cs="仿宋_GB2312"/>
          <w:lang w:val="en-US" w:eastAsia="zh-CN"/>
        </w:rPr>
        <w:t>9</w:t>
      </w:r>
      <w:r>
        <w:rPr>
          <w:rFonts w:hint="eastAsia" w:ascii="仿宋_GB2312" w:hAnsi="仿宋_GB2312" w:eastAsia="仿宋_GB2312" w:cs="仿宋_GB2312"/>
          <w:spacing w:val="6"/>
        </w:rPr>
        <w:t>人</w:t>
      </w:r>
      <w:r>
        <w:rPr>
          <w:rFonts w:hint="eastAsia" w:ascii="仿宋_GB2312" w:hAnsi="仿宋_GB2312" w:eastAsia="仿宋_GB2312" w:cs="仿宋_GB2312"/>
          <w:spacing w:val="7"/>
        </w:rPr>
        <w:t>。</w:t>
      </w:r>
      <w:r>
        <w:rPr>
          <w:rFonts w:hint="eastAsia" w:ascii="仿宋_GB2312" w:hAnsi="仿宋_GB2312" w:eastAsia="仿宋_GB2312" w:cs="仿宋_GB2312"/>
          <w:spacing w:val="21"/>
        </w:rPr>
        <w:t>其中：专业技术人员</w:t>
      </w:r>
      <w:r>
        <w:rPr>
          <w:rFonts w:hint="eastAsia" w:ascii="仿宋_GB2312" w:hAnsi="仿宋_GB2312" w:eastAsia="仿宋_GB2312" w:cs="仿宋_GB2312"/>
          <w:lang w:val="en-US" w:eastAsia="zh-CN"/>
        </w:rPr>
        <w:t>9</w:t>
      </w:r>
      <w:r>
        <w:rPr>
          <w:rFonts w:hint="eastAsia" w:ascii="仿宋_GB2312" w:hAnsi="仿宋_GB2312" w:eastAsia="仿宋_GB2312" w:cs="仿宋_GB2312"/>
          <w:spacing w:val="20"/>
        </w:rPr>
        <w:t>人</w:t>
      </w:r>
      <w:r>
        <w:rPr>
          <w:rFonts w:hint="eastAsia" w:ascii="仿宋_GB2312" w:hAnsi="仿宋_GB2312" w:eastAsia="仿宋_GB2312" w:cs="仿宋_GB2312"/>
          <w:spacing w:val="21"/>
        </w:rPr>
        <w:t>。高级职称教师</w:t>
      </w:r>
      <w:r>
        <w:rPr>
          <w:rFonts w:hint="eastAsia" w:ascii="仿宋_GB2312" w:hAnsi="仿宋_GB2312" w:eastAsia="仿宋_GB2312" w:cs="仿宋_GB2312"/>
          <w:lang w:val="en-US" w:eastAsia="zh-CN"/>
        </w:rPr>
        <w:t>3</w:t>
      </w:r>
      <w:r>
        <w:rPr>
          <w:rFonts w:hint="eastAsia" w:ascii="仿宋_GB2312" w:hAnsi="仿宋_GB2312" w:eastAsia="仿宋_GB2312" w:cs="仿宋_GB2312"/>
          <w:spacing w:val="1"/>
          <w:w w:val="105"/>
        </w:rPr>
        <w:t>人，中级职称教师</w:t>
      </w:r>
      <w:r>
        <w:rPr>
          <w:rFonts w:hint="eastAsia" w:ascii="仿宋_GB2312" w:hAnsi="仿宋_GB2312" w:eastAsia="仿宋_GB2312" w:cs="仿宋_GB2312"/>
          <w:w w:val="105"/>
          <w:lang w:val="en-US"/>
        </w:rPr>
        <w:t>5</w:t>
      </w:r>
      <w:r>
        <w:rPr>
          <w:rFonts w:hint="eastAsia" w:ascii="仿宋_GB2312" w:hAnsi="仿宋_GB2312" w:eastAsia="仿宋_GB2312" w:cs="仿宋_GB2312"/>
          <w:spacing w:val="-3"/>
          <w:w w:val="105"/>
        </w:rPr>
        <w:t>人，初级职称教师</w:t>
      </w:r>
      <w:r>
        <w:rPr>
          <w:rFonts w:hint="eastAsia" w:ascii="仿宋_GB2312" w:hAnsi="仿宋_GB2312" w:eastAsia="仿宋_GB2312" w:cs="仿宋_GB2312"/>
          <w:w w:val="105"/>
          <w:lang w:val="en-US" w:eastAsia="zh-CN"/>
        </w:rPr>
        <w:t>1</w:t>
      </w:r>
      <w:r>
        <w:rPr>
          <w:rFonts w:hint="eastAsia" w:ascii="仿宋_GB2312" w:hAnsi="仿宋_GB2312" w:eastAsia="仿宋_GB2312" w:cs="仿宋_GB2312"/>
          <w:spacing w:val="-15"/>
          <w:w w:val="105"/>
        </w:rPr>
        <w:t>人，</w:t>
      </w:r>
      <w:r>
        <w:rPr>
          <w:rFonts w:hint="eastAsia" w:ascii="仿宋_GB2312" w:hAnsi="仿宋_GB2312" w:eastAsia="仿宋_GB2312" w:cs="仿宋_GB2312"/>
        </w:rPr>
        <w:t>退休教师</w:t>
      </w:r>
      <w:r>
        <w:rPr>
          <w:rFonts w:hint="eastAsia" w:ascii="仿宋_GB2312" w:hAnsi="仿宋_GB2312" w:eastAsia="仿宋_GB2312" w:cs="仿宋_GB2312"/>
          <w:lang w:val="en-US" w:eastAsia="zh-CN"/>
        </w:rPr>
        <w:t>4</w:t>
      </w:r>
      <w:r>
        <w:rPr>
          <w:rFonts w:hint="eastAsia" w:ascii="仿宋_GB2312" w:hAnsi="仿宋_GB2312" w:eastAsia="仿宋_GB2312" w:cs="仿宋_GB2312"/>
        </w:rPr>
        <w:t>人。我校内设教务处、总务处、办公室、德育处等机构。</w:t>
      </w:r>
    </w:p>
    <w:p w14:paraId="3D98E389">
      <w:pPr>
        <w:pStyle w:val="5"/>
        <w:spacing w:before="40" w:line="344" w:lineRule="auto"/>
        <w:ind w:left="0" w:firstLine="643" w:firstLineChars="200"/>
        <w:rPr>
          <w:rFonts w:hint="eastAsia" w:ascii="仿宋_GB2312" w:hAnsi="仿宋_GB2312" w:eastAsia="仿宋_GB2312" w:cs="仿宋_GB2312"/>
        </w:rPr>
      </w:pPr>
      <w:r>
        <w:rPr>
          <w:rFonts w:hint="eastAsia" w:ascii="仿宋_GB2312" w:hAnsi="仿宋_GB2312" w:eastAsia="仿宋_GB2312" w:cs="仿宋_GB2312"/>
        </w:rPr>
        <w:t>(二)单位职责</w:t>
      </w:r>
    </w:p>
    <w:p w14:paraId="6B90D97E">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小学是一所财政全额拨款的事业单位，主要从事小学义务教育，促进基础教育发展，负责小学学历教育（相关社会服务）</w:t>
      </w:r>
    </w:p>
    <w:p w14:paraId="5B02C0B0">
      <w:pPr>
        <w:pStyle w:val="5"/>
        <w:spacing w:line="483" w:lineRule="exact"/>
        <w:rPr>
          <w:rFonts w:hint="eastAsia" w:ascii="黑体" w:hAnsi="黑体" w:eastAsia="黑体" w:cs="黑体"/>
          <w:bCs w:val="0"/>
          <w:sz w:val="33"/>
          <w:szCs w:val="22"/>
        </w:rPr>
      </w:pPr>
      <w:r>
        <w:rPr>
          <w:rFonts w:hint="eastAsia" w:ascii="黑体" w:hAnsi="黑体" w:eastAsia="黑体" w:cs="黑体"/>
          <w:bCs w:val="0"/>
          <w:sz w:val="33"/>
          <w:szCs w:val="22"/>
        </w:rPr>
        <w:t>二、周口市川汇区</w:t>
      </w:r>
      <w:r>
        <w:rPr>
          <w:rFonts w:hint="eastAsia" w:ascii="黑体" w:hAnsi="黑体" w:eastAsia="黑体" w:cs="黑体"/>
          <w:bCs w:val="0"/>
          <w:sz w:val="33"/>
          <w:szCs w:val="22"/>
          <w:lang w:val="en-US" w:eastAsia="zh-CN"/>
        </w:rPr>
        <w:t>太昊路</w:t>
      </w:r>
      <w:r>
        <w:rPr>
          <w:rFonts w:hint="eastAsia" w:ascii="黑体" w:hAnsi="黑体" w:eastAsia="黑体" w:cs="黑体"/>
          <w:bCs w:val="0"/>
          <w:sz w:val="33"/>
          <w:szCs w:val="22"/>
        </w:rPr>
        <w:t>办事处</w:t>
      </w:r>
      <w:r>
        <w:rPr>
          <w:rFonts w:hint="eastAsia" w:ascii="黑体" w:hAnsi="黑体" w:eastAsia="黑体" w:cs="黑体"/>
          <w:bCs w:val="0"/>
          <w:sz w:val="33"/>
          <w:szCs w:val="22"/>
          <w:lang w:val="en-US" w:eastAsia="zh-CN"/>
        </w:rPr>
        <w:t>毛楼</w:t>
      </w:r>
      <w:r>
        <w:rPr>
          <w:rFonts w:hint="eastAsia" w:ascii="黑体" w:hAnsi="黑体" w:eastAsia="黑体" w:cs="黑体"/>
          <w:bCs w:val="0"/>
          <w:sz w:val="33"/>
          <w:szCs w:val="22"/>
        </w:rPr>
        <w:t>小学所属预算单位构成情况</w:t>
      </w:r>
    </w:p>
    <w:p w14:paraId="6B44B9F1">
      <w:pPr>
        <w:pStyle w:val="6"/>
        <w:spacing w:before="158" w:line="344" w:lineRule="auto"/>
        <w:ind w:left="108" w:right="101" w:firstLine="640"/>
        <w:jc w:val="both"/>
      </w:pPr>
      <w:r>
        <w:rPr>
          <w:rFonts w:hint="eastAsia" w:ascii="仿宋_GB2312" w:hAnsi="仿宋_GB2312" w:eastAsia="仿宋_GB2312" w:cs="仿宋_GB2312"/>
          <w:spacing w:val="21"/>
        </w:rPr>
        <w:t>周口市川汇区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小学预算仅包含周口市川汇区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小学小学本级预算。</w:t>
      </w:r>
    </w:p>
    <w:p w14:paraId="16182E02">
      <w:pPr>
        <w:sectPr>
          <w:pgSz w:w="12300" w:h="17120"/>
          <w:pgMar w:top="2098" w:right="1474" w:bottom="1984" w:left="1587" w:header="720" w:footer="720" w:gutter="0"/>
          <w:cols w:space="720" w:num="1"/>
        </w:sectPr>
      </w:pPr>
    </w:p>
    <w:p w14:paraId="6A48CE5C">
      <w:pPr>
        <w:pStyle w:val="2"/>
        <w:spacing w:before="34"/>
        <w:ind w:left="484" w:right="535"/>
        <w:rPr>
          <w:rFonts w:hint="eastAsia" w:ascii="黑体" w:hAnsi="黑体" w:eastAsia="黑体" w:cs="黑体"/>
        </w:rPr>
      </w:pPr>
      <w:r>
        <w:rPr>
          <w:rFonts w:hint="eastAsia" w:ascii="黑体" w:hAnsi="黑体" w:eastAsia="黑体" w:cs="黑体"/>
        </w:rPr>
        <w:t>第二部分</w:t>
      </w:r>
    </w:p>
    <w:p w14:paraId="0F10ED75">
      <w:pPr>
        <w:spacing w:before="25" w:line="249" w:lineRule="auto"/>
        <w:ind w:left="488" w:right="535"/>
        <w:jc w:val="center"/>
        <w:rPr>
          <w:rFonts w:hint="eastAsia" w:ascii="黑体" w:hAnsi="黑体" w:eastAsia="黑体" w:cs="黑体"/>
          <w:sz w:val="49"/>
        </w:rPr>
      </w:pPr>
      <w:r>
        <w:rPr>
          <w:rFonts w:hint="eastAsia" w:ascii="黑体" w:hAnsi="黑体" w:eastAsia="黑体" w:cs="黑体"/>
          <w:sz w:val="49"/>
        </w:rPr>
        <w:t>周口市川汇区</w:t>
      </w:r>
      <w:r>
        <w:rPr>
          <w:rFonts w:hint="eastAsia" w:ascii="黑体" w:hAnsi="黑体" w:eastAsia="黑体" w:cs="黑体"/>
          <w:sz w:val="49"/>
          <w:lang w:val="en-US" w:eastAsia="zh-CN"/>
        </w:rPr>
        <w:t>太昊路</w:t>
      </w:r>
      <w:r>
        <w:rPr>
          <w:rFonts w:hint="eastAsia" w:ascii="黑体" w:hAnsi="黑体" w:eastAsia="黑体" w:cs="黑体"/>
          <w:sz w:val="49"/>
        </w:rPr>
        <w:t>办事处</w:t>
      </w:r>
      <w:r>
        <w:rPr>
          <w:rFonts w:hint="eastAsia" w:ascii="黑体" w:hAnsi="黑体" w:eastAsia="黑体" w:cs="黑体"/>
          <w:sz w:val="49"/>
          <w:lang w:val="en-US" w:eastAsia="zh-CN"/>
        </w:rPr>
        <w:t>毛楼</w:t>
      </w:r>
      <w:r>
        <w:rPr>
          <w:rFonts w:hint="eastAsia" w:ascii="黑体" w:hAnsi="黑体" w:eastAsia="黑体" w:cs="黑体"/>
          <w:sz w:val="49"/>
        </w:rPr>
        <w:t>小学</w:t>
      </w:r>
      <w:r>
        <w:rPr>
          <w:rFonts w:hint="eastAsia" w:ascii="黑体" w:hAnsi="黑体" w:eastAsia="黑体" w:cs="黑体"/>
          <w:sz w:val="49"/>
          <w:lang w:eastAsia="zh-CN"/>
        </w:rPr>
        <w:t>2026</w:t>
      </w:r>
      <w:r>
        <w:rPr>
          <w:rFonts w:hint="eastAsia" w:ascii="黑体" w:hAnsi="黑体" w:eastAsia="黑体" w:cs="黑体"/>
          <w:spacing w:val="-2"/>
          <w:sz w:val="49"/>
        </w:rPr>
        <w:t>年度单位预算</w:t>
      </w:r>
      <w:r>
        <w:rPr>
          <w:rFonts w:hint="eastAsia" w:ascii="黑体" w:hAnsi="黑体" w:eastAsia="黑体" w:cs="黑体"/>
          <w:sz w:val="49"/>
        </w:rPr>
        <w:t>情况说明</w:t>
      </w:r>
    </w:p>
    <w:p w14:paraId="63040917">
      <w:pPr>
        <w:pStyle w:val="6"/>
        <w:spacing w:before="3"/>
        <w:rPr>
          <w:sz w:val="66"/>
        </w:rPr>
      </w:pPr>
    </w:p>
    <w:p w14:paraId="342CA7C3">
      <w:pPr>
        <w:pStyle w:val="6"/>
        <w:ind w:left="752"/>
        <w:rPr>
          <w:rFonts w:hint="eastAsia" w:ascii="黑体" w:hAnsi="黑体" w:eastAsia="黑体" w:cs="黑体"/>
        </w:rPr>
      </w:pPr>
      <w:r>
        <w:rPr>
          <w:rFonts w:hint="eastAsia" w:ascii="黑体" w:hAnsi="黑体" w:eastAsia="黑体" w:cs="黑体"/>
        </w:rPr>
        <w:t>一、收入支出预算总体情况说明</w:t>
      </w:r>
    </w:p>
    <w:p w14:paraId="2F360D94">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年收入总计</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万元,支出总计</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万元,与202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年预算相比,收入</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21.95</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17.73</w:t>
      </w:r>
      <w:r>
        <w:rPr>
          <w:rFonts w:hint="eastAsia" w:ascii="仿宋_GB2312" w:hAnsi="仿宋_GB2312" w:eastAsia="仿宋_GB2312" w:cs="仿宋_GB2312"/>
          <w:spacing w:val="21"/>
        </w:rPr>
        <w:drawing>
          <wp:inline distT="0" distB="0" distL="114300" distR="114300">
            <wp:extent cx="97790" cy="161290"/>
            <wp:effectExtent l="0" t="0" r="16510" b="1016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。主要原因:人员经费收入</w:t>
      </w:r>
      <w:r>
        <w:rPr>
          <w:rFonts w:hint="eastAsia" w:ascii="仿宋_GB2312" w:hAnsi="仿宋_GB2312" w:eastAsia="仿宋_GB2312" w:cs="仿宋_GB2312"/>
          <w:spacing w:val="21"/>
          <w:lang w:val="en-US" w:eastAsia="zh-CN"/>
        </w:rPr>
        <w:t>增加</w:t>
      </w:r>
      <w:r>
        <w:rPr>
          <w:rFonts w:hint="eastAsia" w:ascii="仿宋_GB2312" w:hAnsi="仿宋_GB2312" w:eastAsia="仿宋_GB2312" w:cs="仿宋_GB2312"/>
          <w:spacing w:val="21"/>
        </w:rPr>
        <w:t>。支出</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21.95</w:t>
      </w:r>
      <w:r>
        <w:rPr>
          <w:rFonts w:hint="eastAsia" w:ascii="仿宋_GB2312" w:hAnsi="仿宋_GB2312" w:eastAsia="仿宋_GB2312" w:cs="仿宋_GB2312"/>
          <w:spacing w:val="21"/>
        </w:rPr>
        <w:t xml:space="preserve">万元, </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17.73</w:t>
      </w:r>
      <w:r>
        <w:rPr>
          <w:rFonts w:hint="eastAsia" w:ascii="仿宋_GB2312" w:hAnsi="仿宋_GB2312" w:eastAsia="仿宋_GB2312" w:cs="仿宋_GB2312"/>
          <w:spacing w:val="21"/>
        </w:rPr>
        <w:drawing>
          <wp:inline distT="0" distB="0" distL="114300" distR="114300">
            <wp:extent cx="97790" cy="161290"/>
            <wp:effectExtent l="0" t="0" r="16510" b="10160"/>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。主要原因:人员经费收入</w:t>
      </w:r>
      <w:r>
        <w:rPr>
          <w:rFonts w:hint="eastAsia" w:ascii="仿宋_GB2312" w:hAnsi="仿宋_GB2312" w:eastAsia="仿宋_GB2312" w:cs="仿宋_GB2312"/>
          <w:spacing w:val="21"/>
          <w:lang w:val="en-US" w:eastAsia="zh-CN"/>
        </w:rPr>
        <w:t>增加</w:t>
      </w:r>
      <w:r>
        <w:rPr>
          <w:rFonts w:hint="eastAsia" w:ascii="仿宋_GB2312" w:hAnsi="仿宋_GB2312" w:eastAsia="仿宋_GB2312" w:cs="仿宋_GB2312"/>
          <w:spacing w:val="21"/>
        </w:rPr>
        <w:t>。</w:t>
      </w:r>
    </w:p>
    <w:p w14:paraId="7F350E6D">
      <w:pPr>
        <w:pStyle w:val="6"/>
        <w:ind w:left="752"/>
        <w:rPr>
          <w:rFonts w:hint="eastAsia" w:ascii="黑体" w:hAnsi="黑体" w:eastAsia="黑体" w:cs="黑体"/>
        </w:rPr>
      </w:pPr>
      <w:r>
        <w:rPr>
          <w:rFonts w:hint="eastAsia" w:ascii="黑体" w:hAnsi="黑体" w:eastAsia="黑体" w:cs="黑体"/>
        </w:rPr>
        <w:t>二、收入预算总体情况说明</w:t>
      </w:r>
    </w:p>
    <w:p w14:paraId="24038C55">
      <w:pPr>
        <w:pStyle w:val="6"/>
        <w:spacing w:before="158" w:line="344" w:lineRule="auto"/>
        <w:ind w:left="108" w:right="101" w:firstLine="640"/>
        <w:jc w:val="both"/>
        <w:rPr>
          <w:rFonts w:ascii="仿宋_GB2312" w:hAnsi="仿宋_GB2312" w:eastAsia="仿宋_GB2312" w:cs="仿宋_GB2312"/>
          <w:spacing w:val="21"/>
          <w:lang w:val="en-US"/>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年收入合计</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万元,其中:一般公共预算收入</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万元;政府性基金预算收入0万元;国有资本经营预算收入0万元;其他收入0万元；</w:t>
      </w:r>
      <w:r>
        <w:rPr>
          <w:rFonts w:hint="eastAsia" w:ascii="仿宋_GB2312" w:hAnsi="仿宋_GB2312" w:eastAsia="仿宋_GB2312" w:cs="仿宋_GB2312"/>
          <w:spacing w:val="21"/>
          <w:lang w:val="en-US"/>
        </w:rPr>
        <w:t>上年结余0万元。</w:t>
      </w:r>
    </w:p>
    <w:p w14:paraId="01CFE442">
      <w:pPr>
        <w:pStyle w:val="6"/>
        <w:ind w:left="752"/>
        <w:rPr>
          <w:rFonts w:hint="eastAsia" w:ascii="黑体" w:hAnsi="黑体" w:eastAsia="黑体" w:cs="黑体"/>
        </w:rPr>
      </w:pPr>
      <w:r>
        <w:rPr>
          <w:rFonts w:hint="eastAsia" w:ascii="黑体" w:hAnsi="黑体" w:eastAsia="黑体" w:cs="黑体"/>
        </w:rPr>
        <w:t>三、支出预算总体情况说明</w:t>
      </w:r>
    </w:p>
    <w:p w14:paraId="5B2CEC96">
      <w:pPr>
        <w:pStyle w:val="6"/>
        <w:spacing w:before="158" w:line="344" w:lineRule="auto"/>
        <w:ind w:left="108" w:right="101" w:firstLine="640"/>
        <w:jc w:val="both"/>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年支出合计</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万元,其中:基本支出</w:t>
      </w:r>
      <w:r>
        <w:rPr>
          <w:rFonts w:hint="eastAsia" w:ascii="仿宋_GB2312" w:hAnsi="仿宋_GB2312" w:eastAsia="仿宋_GB2312" w:cs="仿宋_GB2312"/>
          <w:spacing w:val="21"/>
          <w:lang w:val="en-US" w:eastAsia="zh-CN"/>
        </w:rPr>
        <w:t>138.91</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95.31</w:t>
      </w:r>
      <w:r>
        <w:rPr>
          <w:rFonts w:hint="eastAsia" w:ascii="仿宋_GB2312" w:hAnsi="仿宋_GB2312" w:eastAsia="仿宋_GB2312" w:cs="仿宋_GB2312"/>
          <w:spacing w:val="21"/>
        </w:rPr>
        <w:drawing>
          <wp:inline distT="0" distB="0" distL="114300" distR="114300">
            <wp:extent cx="97790" cy="161290"/>
            <wp:effectExtent l="0" t="0" r="16510" b="10160"/>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;项目支出</w:t>
      </w:r>
      <w:r>
        <w:rPr>
          <w:rFonts w:hint="eastAsia" w:ascii="仿宋_GB2312" w:hAnsi="仿宋_GB2312" w:eastAsia="仿宋_GB2312" w:cs="仿宋_GB2312"/>
          <w:spacing w:val="21"/>
          <w:lang w:val="en-US" w:eastAsia="zh-CN"/>
        </w:rPr>
        <w:t>6.84</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val="en-US" w:eastAsia="zh-CN"/>
        </w:rPr>
        <w:t>4.69</w:t>
      </w:r>
      <w:r>
        <w:rPr>
          <w:rFonts w:hint="eastAsia" w:ascii="仿宋_GB2312" w:hAnsi="仿宋_GB2312" w:eastAsia="仿宋_GB2312" w:cs="仿宋_GB2312"/>
          <w:spacing w:val="21"/>
        </w:rPr>
        <w:drawing>
          <wp:inline distT="0" distB="0" distL="114300" distR="114300">
            <wp:extent cx="97790" cy="161290"/>
            <wp:effectExtent l="0" t="0" r="16510" b="10160"/>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w:t>
      </w:r>
    </w:p>
    <w:p w14:paraId="0E62422C">
      <w:pPr>
        <w:pStyle w:val="6"/>
        <w:ind w:left="752"/>
        <w:rPr>
          <w:rFonts w:hint="eastAsia" w:ascii="黑体" w:hAnsi="黑体" w:eastAsia="黑体" w:cs="黑体"/>
        </w:rPr>
      </w:pPr>
      <w:r>
        <w:rPr>
          <w:rFonts w:hint="eastAsia" w:ascii="黑体" w:hAnsi="黑体" w:eastAsia="黑体" w:cs="黑体"/>
        </w:rPr>
        <w:t>四、财政拨款收入支出预算总体情况说明</w:t>
      </w:r>
    </w:p>
    <w:p w14:paraId="61FD35D4">
      <w:pPr>
        <w:pStyle w:val="6"/>
        <w:spacing w:before="158" w:line="344" w:lineRule="auto"/>
        <w:ind w:left="108" w:right="101" w:firstLine="640"/>
        <w:jc w:val="both"/>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年一般公共预算收支预算</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元。政府性基金收支预算0万元,与202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年相比,一般公共预算收支预算</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21.95</w:t>
      </w:r>
      <w:r>
        <w:rPr>
          <w:rFonts w:hint="eastAsia" w:ascii="仿宋_GB2312" w:hAnsi="仿宋_GB2312" w:eastAsia="仿宋_GB2312" w:cs="仿宋_GB2312"/>
          <w:spacing w:val="21"/>
        </w:rPr>
        <w:t>万元,</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lang w:val="en-US" w:eastAsia="zh-CN"/>
        </w:rPr>
        <w:t>17.73</w:t>
      </w:r>
      <w:r>
        <w:rPr>
          <w:rFonts w:hint="eastAsia" w:ascii="仿宋_GB2312" w:hAnsi="仿宋_GB2312" w:eastAsia="仿宋_GB2312" w:cs="仿宋_GB2312"/>
          <w:spacing w:val="21"/>
        </w:rPr>
        <w:drawing>
          <wp:inline distT="0" distB="0" distL="114300" distR="114300">
            <wp:extent cx="97790" cy="161290"/>
            <wp:effectExtent l="0" t="0" r="16510" b="10160"/>
            <wp:docPr id="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3"/>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,主要原因:人员经费</w:t>
      </w:r>
      <w:r>
        <w:rPr>
          <w:rFonts w:hint="eastAsia" w:ascii="仿宋_GB2312" w:hAnsi="仿宋_GB2312" w:eastAsia="仿宋_GB2312" w:cs="仿宋_GB2312"/>
          <w:spacing w:val="21"/>
          <w:lang w:eastAsia="zh-CN"/>
        </w:rPr>
        <w:t>增加</w:t>
      </w:r>
      <w:r>
        <w:rPr>
          <w:rFonts w:hint="eastAsia" w:ascii="仿宋_GB2312" w:hAnsi="仿宋_GB2312" w:eastAsia="仿宋_GB2312" w:cs="仿宋_GB2312"/>
          <w:spacing w:val="21"/>
        </w:rPr>
        <w:t>;政府性基金收支增加0万元,增长0</w:t>
      </w:r>
      <w:r>
        <w:rPr>
          <w:rFonts w:hint="eastAsia" w:ascii="仿宋_GB2312" w:hAnsi="仿宋_GB2312" w:eastAsia="仿宋_GB2312" w:cs="仿宋_GB2312"/>
          <w:spacing w:val="21"/>
        </w:rPr>
        <w:drawing>
          <wp:inline distT="0" distB="0" distL="114300" distR="114300">
            <wp:extent cx="97790" cy="161290"/>
            <wp:effectExtent l="0" t="0" r="16510" b="10160"/>
            <wp:docPr id="6"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w:t>
      </w:r>
    </w:p>
    <w:p w14:paraId="1BA8BA71">
      <w:pPr>
        <w:pStyle w:val="6"/>
        <w:ind w:left="752"/>
        <w:rPr>
          <w:rFonts w:hint="eastAsia" w:ascii="黑体" w:hAnsi="黑体" w:eastAsia="黑体" w:cs="黑体"/>
        </w:rPr>
      </w:pPr>
      <w:r>
        <w:rPr>
          <w:rFonts w:hint="eastAsia" w:ascii="黑体" w:hAnsi="黑体" w:eastAsia="黑体" w:cs="黑体"/>
        </w:rPr>
        <w:t>五、一般公共预算支出预算情况说明</w:t>
      </w:r>
    </w:p>
    <w:p w14:paraId="72417A03">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年一般公共预算支出年初预算为</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万元。其中:基本支出</w:t>
      </w:r>
      <w:r>
        <w:rPr>
          <w:rFonts w:hint="eastAsia" w:ascii="仿宋_GB2312" w:hAnsi="仿宋_GB2312" w:eastAsia="仿宋_GB2312" w:cs="仿宋_GB2312"/>
          <w:spacing w:val="21"/>
          <w:lang w:val="en-US" w:eastAsia="zh-CN"/>
        </w:rPr>
        <w:t>138.91</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95.31</w:t>
      </w:r>
      <w:r>
        <w:rPr>
          <w:rFonts w:hint="eastAsia" w:ascii="仿宋_GB2312" w:hAnsi="仿宋_GB2312" w:eastAsia="仿宋_GB2312" w:cs="仿宋_GB2312"/>
          <w:spacing w:val="21"/>
        </w:rPr>
        <w:drawing>
          <wp:inline distT="0" distB="0" distL="114300" distR="114300">
            <wp:extent cx="97790" cy="161290"/>
            <wp:effectExtent l="0" t="0" r="16510" b="10160"/>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;项目支出</w:t>
      </w:r>
      <w:r>
        <w:rPr>
          <w:rFonts w:hint="eastAsia" w:ascii="仿宋_GB2312" w:hAnsi="仿宋_GB2312" w:eastAsia="仿宋_GB2312" w:cs="仿宋_GB2312"/>
          <w:spacing w:val="21"/>
          <w:lang w:val="en-US" w:eastAsia="zh-CN"/>
        </w:rPr>
        <w:t>6.84</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4.69</w:t>
      </w:r>
      <w:r>
        <w:rPr>
          <w:rFonts w:hint="eastAsia" w:ascii="仿宋_GB2312" w:hAnsi="仿宋_GB2312" w:eastAsia="仿宋_GB2312" w:cs="仿宋_GB2312"/>
          <w:spacing w:val="21"/>
        </w:rPr>
        <w:drawing>
          <wp:inline distT="0" distB="0" distL="114300" distR="114300">
            <wp:extent cx="97790" cy="161290"/>
            <wp:effectExtent l="0" t="0" r="16510" b="10160"/>
            <wp:docPr id="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w:t>
      </w:r>
    </w:p>
    <w:p w14:paraId="6C9B120C">
      <w:pPr>
        <w:pStyle w:val="6"/>
        <w:ind w:left="752"/>
        <w:rPr>
          <w:rFonts w:hint="eastAsia" w:ascii="黑体" w:hAnsi="黑体" w:eastAsia="黑体" w:cs="黑体"/>
        </w:rPr>
      </w:pPr>
      <w:r>
        <w:rPr>
          <w:rFonts w:hint="eastAsia" w:ascii="黑体" w:hAnsi="黑体" w:eastAsia="黑体" w:cs="黑体"/>
        </w:rPr>
        <w:t>六、一般公共预算基本支出预算情况说明</w:t>
      </w:r>
    </w:p>
    <w:p w14:paraId="16EF789A">
      <w:pPr>
        <w:pStyle w:val="6"/>
        <w:spacing w:before="158" w:line="344" w:lineRule="auto"/>
        <w:ind w:left="108" w:right="101" w:firstLine="640"/>
        <w:jc w:val="both"/>
        <w:rPr>
          <w:rFonts w:hint="default" w:ascii="仿宋_GB2312" w:hAnsi="仿宋_GB2312" w:eastAsia="仿宋_GB2312" w:cs="仿宋_GB2312"/>
          <w:spacing w:val="21"/>
          <w:lang w:val="en-US" w:eastAsia="zh-CN"/>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年一般公共预算基本支出年初预算为</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万元。其中:人员经费支出</w:t>
      </w:r>
      <w:r>
        <w:rPr>
          <w:rFonts w:hint="eastAsia" w:ascii="仿宋_GB2312" w:hAnsi="仿宋_GB2312" w:eastAsia="仿宋_GB2312" w:cs="仿宋_GB2312"/>
          <w:spacing w:val="21"/>
          <w:lang w:val="en-US" w:eastAsia="zh-CN"/>
        </w:rPr>
        <w:t>137.19</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rPr>
        <w:t>9</w:t>
      </w:r>
      <w:r>
        <w:rPr>
          <w:rFonts w:hint="eastAsia" w:ascii="仿宋_GB2312" w:hAnsi="仿宋_GB2312" w:eastAsia="仿宋_GB2312" w:cs="仿宋_GB2312"/>
          <w:spacing w:val="21"/>
          <w:lang w:val="en-US" w:eastAsia="zh-CN"/>
        </w:rPr>
        <w:t>4.13</w:t>
      </w:r>
      <w:r>
        <w:rPr>
          <w:rFonts w:hint="eastAsia" w:ascii="仿宋_GB2312" w:hAnsi="仿宋_GB2312" w:eastAsia="仿宋_GB2312" w:cs="仿宋_GB2312"/>
          <w:spacing w:val="21"/>
        </w:rPr>
        <w:drawing>
          <wp:inline distT="0" distB="0" distL="114300" distR="114300">
            <wp:extent cx="97790" cy="161290"/>
            <wp:effectExtent l="0" t="0" r="16510" b="10160"/>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;公用经费支出</w:t>
      </w:r>
      <w:r>
        <w:rPr>
          <w:rFonts w:hint="eastAsia" w:ascii="仿宋_GB2312" w:hAnsi="仿宋_GB2312" w:eastAsia="仿宋_GB2312" w:cs="仿宋_GB2312"/>
          <w:spacing w:val="21"/>
          <w:lang w:val="en-US" w:eastAsia="zh-CN"/>
        </w:rPr>
        <w:t>1.72</w:t>
      </w:r>
      <w:r>
        <w:rPr>
          <w:rFonts w:hint="eastAsia" w:ascii="仿宋_GB2312" w:hAnsi="仿宋_GB2312" w:eastAsia="仿宋_GB2312" w:cs="仿宋_GB2312"/>
          <w:spacing w:val="21"/>
        </w:rPr>
        <w:t>万元,占</w:t>
      </w:r>
      <w:r>
        <w:rPr>
          <w:rFonts w:hint="eastAsia" w:ascii="仿宋_GB2312" w:hAnsi="仿宋_GB2312" w:eastAsia="仿宋_GB2312" w:cs="仿宋_GB2312"/>
          <w:spacing w:val="21"/>
          <w:lang w:val="en-US" w:eastAsia="zh-CN"/>
        </w:rPr>
        <w:t>1.18</w:t>
      </w:r>
      <w:r>
        <w:rPr>
          <w:rFonts w:hint="eastAsia" w:ascii="仿宋_GB2312" w:hAnsi="仿宋_GB2312" w:eastAsia="仿宋_GB2312" w:cs="仿宋_GB2312"/>
          <w:spacing w:val="21"/>
        </w:rPr>
        <w:drawing>
          <wp:inline distT="0" distB="0" distL="114300" distR="114300">
            <wp:extent cx="97790" cy="161290"/>
            <wp:effectExtent l="0" t="0" r="16510" b="10160"/>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w:t>
      </w:r>
      <w:r>
        <w:rPr>
          <w:rFonts w:hint="eastAsia" w:ascii="仿宋_GB2312" w:hAnsi="仿宋_GB2312" w:eastAsia="仿宋_GB2312" w:cs="仿宋_GB2312"/>
          <w:spacing w:val="21"/>
          <w:lang w:val="en-US" w:eastAsia="zh-CN"/>
        </w:rPr>
        <w:t>项目支出6.84万元，占4.69%</w:t>
      </w:r>
      <w:bookmarkStart w:id="0" w:name="_GoBack"/>
      <w:bookmarkEnd w:id="0"/>
    </w:p>
    <w:p w14:paraId="4E5512F6">
      <w:pPr>
        <w:pStyle w:val="6"/>
        <w:keepNext w:val="0"/>
        <w:keepLines w:val="0"/>
        <w:pageBreakBefore w:val="0"/>
        <w:widowControl w:val="0"/>
        <w:numPr>
          <w:ilvl w:val="0"/>
          <w:numId w:val="2"/>
        </w:numPr>
        <w:kinsoku/>
        <w:wordWrap/>
        <w:overflowPunct/>
        <w:topLinePunct w:val="0"/>
        <w:autoSpaceDE w:val="0"/>
        <w:autoSpaceDN w:val="0"/>
        <w:bidi w:val="0"/>
        <w:adjustRightInd/>
        <w:snapToGrid/>
        <w:spacing w:line="344" w:lineRule="auto"/>
        <w:ind w:left="752"/>
        <w:textAlignment w:val="auto"/>
        <w:rPr>
          <w:rFonts w:hint="eastAsia" w:ascii="黑体" w:hAnsi="黑体" w:eastAsia="黑体" w:cs="黑体"/>
        </w:rPr>
      </w:pPr>
      <w:r>
        <w:rPr>
          <w:rFonts w:hint="eastAsia" w:ascii="黑体" w:hAnsi="黑体" w:eastAsia="黑体" w:cs="黑体"/>
        </w:rPr>
        <w:t>支出经济分类汇总表</w:t>
      </w:r>
    </w:p>
    <w:p w14:paraId="19FAF7C1">
      <w:pPr>
        <w:pStyle w:val="6"/>
        <w:keepNext w:val="0"/>
        <w:keepLines w:val="0"/>
        <w:pageBreakBefore w:val="0"/>
        <w:widowControl w:val="0"/>
        <w:numPr>
          <w:ilvl w:val="0"/>
          <w:numId w:val="0"/>
        </w:numPr>
        <w:kinsoku/>
        <w:wordWrap/>
        <w:overflowPunct/>
        <w:topLinePunct w:val="0"/>
        <w:autoSpaceDE w:val="0"/>
        <w:autoSpaceDN w:val="0"/>
        <w:bidi w:val="0"/>
        <w:adjustRightInd/>
        <w:snapToGrid/>
        <w:spacing w:line="344" w:lineRule="auto"/>
        <w:ind w:firstLine="724" w:firstLineChars="200"/>
        <w:textAlignment w:val="auto"/>
        <w:rPr>
          <w:rFonts w:hint="eastAsia" w:ascii="黑体" w:hAnsi="黑体" w:eastAsia="黑体" w:cs="黑体"/>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年按照支出经济分类总支出</w:t>
      </w:r>
      <w:r>
        <w:rPr>
          <w:rFonts w:hint="eastAsia" w:ascii="仿宋_GB2312" w:hAnsi="仿宋_GB2312" w:eastAsia="仿宋_GB2312" w:cs="仿宋_GB2312"/>
          <w:spacing w:val="21"/>
          <w:lang w:val="en-US" w:eastAsia="zh-CN"/>
        </w:rPr>
        <w:t>145.75</w:t>
      </w:r>
      <w:r>
        <w:rPr>
          <w:rFonts w:hint="eastAsia" w:ascii="仿宋_GB2312" w:hAnsi="仿宋_GB2312" w:eastAsia="仿宋_GB2312" w:cs="仿宋_GB2312"/>
          <w:spacing w:val="21"/>
        </w:rPr>
        <w:t>万元，分为工资福利支出、商品服务支出</w:t>
      </w:r>
      <w:r>
        <w:rPr>
          <w:rFonts w:hint="eastAsia" w:ascii="仿宋_GB2312" w:hAnsi="仿宋_GB2312" w:eastAsia="仿宋_GB2312" w:cs="仿宋_GB2312"/>
          <w:spacing w:val="21"/>
          <w:lang w:eastAsia="zh-CN"/>
        </w:rPr>
        <w:t>、</w:t>
      </w:r>
      <w:r>
        <w:rPr>
          <w:rFonts w:hint="eastAsia" w:ascii="仿宋_GB2312" w:hAnsi="仿宋_GB2312" w:eastAsia="仿宋_GB2312" w:cs="仿宋_GB2312"/>
          <w:spacing w:val="21"/>
        </w:rPr>
        <w:t>离退休费及</w:t>
      </w:r>
      <w:r>
        <w:rPr>
          <w:rFonts w:hint="eastAsia" w:ascii="仿宋_GB2312" w:hAnsi="仿宋_GB2312" w:eastAsia="仿宋_GB2312" w:cs="仿宋_GB2312"/>
          <w:spacing w:val="21"/>
          <w:lang w:val="en-US" w:eastAsia="zh-CN"/>
        </w:rPr>
        <w:t>项目支出</w:t>
      </w:r>
      <w:r>
        <w:rPr>
          <w:rFonts w:hint="eastAsia" w:ascii="仿宋_GB2312" w:hAnsi="仿宋_GB2312" w:eastAsia="仿宋_GB2312" w:cs="仿宋_GB2312"/>
          <w:spacing w:val="21"/>
        </w:rPr>
        <w:t>。工资福利支出用于到单位人员工资、绩效、津补贴及五险一金。商品服务支出用于单位人员工会方面的支出。退休费用于退休人员的健康休养费的支出。</w:t>
      </w:r>
      <w:r>
        <w:rPr>
          <w:rFonts w:hint="eastAsia" w:ascii="仿宋_GB2312" w:hAnsi="仿宋_GB2312" w:eastAsia="仿宋_GB2312" w:cs="仿宋_GB2312"/>
          <w:spacing w:val="21"/>
          <w:lang w:val="en-US" w:eastAsia="zh-CN"/>
        </w:rPr>
        <w:t>项目支出</w:t>
      </w:r>
      <w:r>
        <w:rPr>
          <w:rFonts w:hint="eastAsia" w:ascii="仿宋_GB2312" w:hAnsi="仿宋_GB2312" w:eastAsia="仿宋_GB2312" w:cs="仿宋_GB2312"/>
          <w:spacing w:val="21"/>
        </w:rPr>
        <w:t>用于单位</w:t>
      </w:r>
      <w:r>
        <w:rPr>
          <w:rFonts w:hint="eastAsia" w:ascii="仿宋_GB2312" w:hAnsi="仿宋_GB2312" w:eastAsia="仿宋_GB2312" w:cs="仿宋_GB2312"/>
          <w:spacing w:val="21"/>
          <w:lang w:val="en-US" w:eastAsia="zh-CN"/>
        </w:rPr>
        <w:t>代课</w:t>
      </w:r>
      <w:r>
        <w:rPr>
          <w:rFonts w:hint="eastAsia" w:ascii="仿宋_GB2312" w:hAnsi="仿宋_GB2312" w:eastAsia="仿宋_GB2312" w:cs="仿宋_GB2312"/>
          <w:spacing w:val="21"/>
        </w:rPr>
        <w:t>人员的生活补助。</w:t>
      </w:r>
    </w:p>
    <w:p w14:paraId="169B45D6">
      <w:pPr>
        <w:pStyle w:val="6"/>
        <w:ind w:left="752"/>
        <w:rPr>
          <w:rFonts w:hint="eastAsia" w:ascii="黑体" w:hAnsi="黑体" w:eastAsia="黑体" w:cs="黑体"/>
        </w:rPr>
      </w:pPr>
    </w:p>
    <w:p w14:paraId="5984AB98">
      <w:pPr>
        <w:pStyle w:val="6"/>
        <w:ind w:left="752"/>
        <w:rPr>
          <w:rFonts w:hint="eastAsia" w:ascii="黑体" w:hAnsi="黑体" w:eastAsia="黑体" w:cs="黑体"/>
        </w:rPr>
      </w:pPr>
      <w:r>
        <w:rPr>
          <w:rFonts w:hint="eastAsia" w:ascii="黑体" w:hAnsi="黑体" w:eastAsia="黑体" w:cs="黑体"/>
        </w:rPr>
        <w:t>八、"三公"经费支出预算情况说明</w:t>
      </w:r>
    </w:p>
    <w:p w14:paraId="2FE62707">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年"三公"经费预算为0万元。</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年“三公”经费支出预算数与202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年预算数持平，增长0</w:t>
      </w:r>
      <w:r>
        <w:rPr>
          <w:rFonts w:hint="eastAsia" w:ascii="仿宋_GB2312" w:hAnsi="仿宋_GB2312" w:eastAsia="仿宋_GB2312" w:cs="仿宋_GB2312"/>
          <w:spacing w:val="21"/>
        </w:rPr>
        <w:drawing>
          <wp:inline distT="0" distB="0" distL="114300" distR="114300">
            <wp:extent cx="97790" cy="161290"/>
            <wp:effectExtent l="0" t="0" r="16510" b="10160"/>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4"/>
                    <a:stretch>
                      <a:fillRect/>
                    </a:stretch>
                  </pic:blipFill>
                  <pic:spPr>
                    <a:xfrm>
                      <a:off x="0" y="0"/>
                      <a:ext cx="97790" cy="161290"/>
                    </a:xfrm>
                    <a:prstGeom prst="rect">
                      <a:avLst/>
                    </a:prstGeom>
                    <a:noFill/>
                    <a:ln>
                      <a:noFill/>
                    </a:ln>
                  </pic:spPr>
                </pic:pic>
              </a:graphicData>
            </a:graphic>
          </wp:inline>
        </w:drawing>
      </w:r>
      <w:r>
        <w:rPr>
          <w:rFonts w:hint="eastAsia" w:ascii="仿宋_GB2312" w:hAnsi="仿宋_GB2312" w:eastAsia="仿宋_GB2312" w:cs="仿宋_GB2312"/>
          <w:spacing w:val="21"/>
        </w:rPr>
        <w:t>。具体支出情况如下：</w:t>
      </w:r>
    </w:p>
    <w:p w14:paraId="3028F537">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（一）因公出国（境）费0万元，主要用于单位工作人员公务出国（境）的住宿费、旅费、伙食补助费、杂费、培训费等支出。预算数比202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年增加0万元。</w:t>
      </w:r>
    </w:p>
    <w:p w14:paraId="37BABD9D">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（二）公务接待费0万元，主要用于按规定开支的各类公务接待（含外宾接待）支出。预算数比202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年增加0万元。</w:t>
      </w:r>
    </w:p>
    <w:p w14:paraId="24F9328A">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三）公务用车购置及运行费0万元，其中，公务用车购置费0万元；公务用车运行维护费0万元，主要用于开展工作所需公务用车的燃料费、维修费、过路过桥费、保险费、安全奖励费用等支出。公务用车购置费预算数比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年增加0万元。公务用车运行维护费预算数比202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年增加0万元。</w:t>
      </w:r>
    </w:p>
    <w:p w14:paraId="58D3048F">
      <w:pPr>
        <w:pStyle w:val="6"/>
        <w:spacing w:before="191"/>
        <w:ind w:left="752"/>
      </w:pPr>
      <w:r>
        <w:rPr>
          <w:rFonts w:hint="eastAsia" w:ascii="黑体" w:hAnsi="黑体" w:eastAsia="黑体" w:cs="黑体"/>
        </w:rPr>
        <w:t>九、政府性基金预算支出预算情况说明</w:t>
      </w:r>
    </w:p>
    <w:p w14:paraId="6BA7E9E9">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我单位</w:t>
      </w:r>
      <w:r>
        <w:rPr>
          <w:rFonts w:hint="eastAsia" w:ascii="仿宋_GB2312" w:hAnsi="仿宋_GB2312" w:eastAsia="仿宋_GB2312" w:cs="仿宋_GB2312"/>
          <w:spacing w:val="21"/>
          <w:lang w:eastAsia="zh-CN"/>
        </w:rPr>
        <w:t>202</w:t>
      </w:r>
      <w:r>
        <w:rPr>
          <w:rFonts w:hint="eastAsia" w:ascii="仿宋_GB2312" w:hAnsi="仿宋_GB2312" w:eastAsia="仿宋_GB2312" w:cs="仿宋_GB2312"/>
          <w:spacing w:val="21"/>
          <w:lang w:val="en-US" w:eastAsia="zh-CN"/>
        </w:rPr>
        <w:t>5</w:t>
      </w:r>
      <w:r>
        <w:rPr>
          <w:rFonts w:hint="eastAsia" w:ascii="仿宋_GB2312" w:hAnsi="仿宋_GB2312" w:eastAsia="仿宋_GB2312" w:cs="仿宋_GB2312"/>
          <w:spacing w:val="21"/>
        </w:rPr>
        <w:t>年无使用政府性基金预算拨款安排的支出。</w:t>
      </w:r>
    </w:p>
    <w:p w14:paraId="580C81DF">
      <w:pPr>
        <w:pStyle w:val="6"/>
        <w:numPr>
          <w:ilvl w:val="0"/>
          <w:numId w:val="3"/>
        </w:numPr>
        <w:spacing w:before="191"/>
        <w:ind w:left="752"/>
        <w:rPr>
          <w:rFonts w:hint="eastAsia" w:ascii="黑体" w:hAnsi="黑体" w:eastAsia="黑体" w:cs="黑体"/>
        </w:rPr>
      </w:pPr>
      <w:r>
        <w:rPr>
          <w:rFonts w:hint="eastAsia" w:ascii="黑体" w:hAnsi="黑体" w:eastAsia="黑体" w:cs="黑体"/>
        </w:rPr>
        <w:t>项目支出预算表</w:t>
      </w:r>
    </w:p>
    <w:p w14:paraId="3DA99D9D">
      <w:pPr>
        <w:pStyle w:val="6"/>
        <w:keepNext w:val="0"/>
        <w:keepLines w:val="0"/>
        <w:pageBreakBefore w:val="0"/>
        <w:widowControl w:val="0"/>
        <w:numPr>
          <w:ilvl w:val="0"/>
          <w:numId w:val="0"/>
        </w:numPr>
        <w:kinsoku/>
        <w:wordWrap/>
        <w:overflowPunct/>
        <w:topLinePunct w:val="0"/>
        <w:autoSpaceDE w:val="0"/>
        <w:autoSpaceDN w:val="0"/>
        <w:bidi w:val="0"/>
        <w:adjustRightInd/>
        <w:snapToGrid/>
        <w:spacing w:before="191" w:line="344" w:lineRule="auto"/>
        <w:ind w:firstLine="724" w:firstLineChars="200"/>
        <w:textAlignment w:val="auto"/>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年项目支出预算表主要用于</w:t>
      </w:r>
      <w:r>
        <w:rPr>
          <w:rFonts w:hint="eastAsia" w:ascii="仿宋_GB2312" w:hAnsi="仿宋_GB2312" w:eastAsia="仿宋_GB2312" w:cs="仿宋_GB2312"/>
          <w:spacing w:val="21"/>
          <w:lang w:val="en-US" w:eastAsia="zh-CN"/>
        </w:rPr>
        <w:t>代课教师工资6.84万元。</w:t>
      </w:r>
    </w:p>
    <w:p w14:paraId="1712CA4B">
      <w:pPr>
        <w:pStyle w:val="6"/>
        <w:numPr>
          <w:ilvl w:val="0"/>
          <w:numId w:val="3"/>
        </w:numPr>
        <w:spacing w:before="191" w:line="344" w:lineRule="auto"/>
        <w:ind w:left="752" w:leftChars="0" w:firstLine="0" w:firstLineChars="0"/>
        <w:rPr>
          <w:rFonts w:hint="eastAsia" w:ascii="黑体" w:hAnsi="黑体" w:eastAsia="黑体" w:cs="黑体"/>
        </w:rPr>
      </w:pPr>
      <w:r>
        <w:rPr>
          <w:rFonts w:hint="eastAsia" w:ascii="黑体" w:hAnsi="黑体" w:eastAsia="黑体" w:cs="黑体"/>
        </w:rPr>
        <w:t>部门整体绩效目标表</w:t>
      </w:r>
    </w:p>
    <w:p w14:paraId="052FA28C">
      <w:pPr>
        <w:keepNext w:val="0"/>
        <w:keepLines w:val="0"/>
        <w:widowControl/>
        <w:suppressLineNumbers w:val="0"/>
        <w:ind w:firstLine="620" w:firstLineChars="200"/>
        <w:jc w:val="left"/>
      </w:pPr>
      <w:r>
        <w:rPr>
          <w:rFonts w:hint="eastAsia" w:ascii="仿宋" w:hAnsi="仿宋" w:eastAsia="仿宋" w:cs="仿宋"/>
          <w:color w:val="000000"/>
          <w:kern w:val="0"/>
          <w:sz w:val="31"/>
          <w:szCs w:val="31"/>
          <w:lang w:val="en-US" w:eastAsia="zh-CN" w:bidi="ar"/>
        </w:rPr>
        <w:t>2026</w:t>
      </w:r>
      <w:r>
        <w:rPr>
          <w:rFonts w:ascii="仿宋" w:hAnsi="仿宋" w:eastAsia="仿宋" w:cs="仿宋"/>
          <w:color w:val="000000"/>
          <w:kern w:val="0"/>
          <w:sz w:val="31"/>
          <w:szCs w:val="31"/>
          <w:lang w:val="en-US" w:eastAsia="zh-CN" w:bidi="ar"/>
        </w:rPr>
        <w:t>年，周口市毛楼小学无</w:t>
      </w:r>
      <w:r>
        <w:rPr>
          <w:rFonts w:hint="eastAsia" w:ascii="仿宋" w:hAnsi="仿宋" w:eastAsia="仿宋" w:cs="仿宋"/>
          <w:color w:val="000000"/>
          <w:kern w:val="0"/>
          <w:sz w:val="31"/>
          <w:szCs w:val="31"/>
          <w:lang w:val="en-US" w:eastAsia="zh-CN" w:bidi="ar"/>
        </w:rPr>
        <w:t>绩效目标</w:t>
      </w:r>
      <w:r>
        <w:rPr>
          <w:rFonts w:ascii="仿宋" w:hAnsi="仿宋" w:eastAsia="仿宋" w:cs="仿宋"/>
          <w:color w:val="000000"/>
          <w:kern w:val="0"/>
          <w:sz w:val="31"/>
          <w:szCs w:val="31"/>
          <w:lang w:val="en-US" w:eastAsia="zh-CN" w:bidi="ar"/>
        </w:rPr>
        <w:t>预算项目。</w:t>
      </w:r>
    </w:p>
    <w:p w14:paraId="3C96DABB">
      <w:pPr>
        <w:pStyle w:val="6"/>
        <w:numPr>
          <w:ilvl w:val="0"/>
          <w:numId w:val="0"/>
        </w:numPr>
        <w:spacing w:before="191" w:line="344" w:lineRule="auto"/>
        <w:ind w:left="752" w:leftChars="0"/>
        <w:rPr>
          <w:rFonts w:hint="eastAsia" w:ascii="黑体" w:hAnsi="黑体" w:eastAsia="黑体" w:cs="黑体"/>
        </w:rPr>
      </w:pPr>
      <w:r>
        <w:rPr>
          <w:rFonts w:hint="eastAsia" w:ascii="黑体" w:hAnsi="黑体" w:eastAsia="黑体" w:cs="黑体"/>
          <w:lang w:val="en-US" w:eastAsia="zh-CN"/>
        </w:rPr>
        <w:t>十二、</w:t>
      </w:r>
      <w:r>
        <w:rPr>
          <w:rFonts w:hint="eastAsia" w:ascii="黑体" w:hAnsi="黑体" w:eastAsia="黑体" w:cs="黑体"/>
        </w:rPr>
        <w:t>部门预算项目绩效目标表</w:t>
      </w:r>
    </w:p>
    <w:p w14:paraId="289A618A">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预算项目</w:t>
      </w:r>
      <w:r>
        <w:rPr>
          <w:rFonts w:hint="eastAsia" w:ascii="仿宋_GB2312" w:hAnsi="仿宋_GB2312" w:eastAsia="仿宋_GB2312" w:cs="仿宋_GB2312"/>
          <w:spacing w:val="21"/>
          <w:lang w:val="en-US" w:eastAsia="zh-CN"/>
        </w:rPr>
        <w:t>绩效目标6.84万元，</w:t>
      </w:r>
      <w:r>
        <w:rPr>
          <w:rFonts w:hint="eastAsia" w:ascii="仿宋_GB2312" w:hAnsi="仿宋_GB2312" w:eastAsia="仿宋_GB2312" w:cs="仿宋_GB2312"/>
          <w:spacing w:val="21"/>
        </w:rPr>
        <w:t>均按要求编制了绩效目标,从项目产出、项目效益、满意度等方面设置了绩效指标,综合反映项目预期完成的数量、实效、质量,预期达到的社会经济效益、可持续影响以及服务对象满意度等情况。</w:t>
      </w:r>
    </w:p>
    <w:p w14:paraId="21BE923C">
      <w:pPr>
        <w:pStyle w:val="2"/>
        <w:spacing w:before="19" w:line="249" w:lineRule="auto"/>
        <w:ind w:left="3465" w:right="3468"/>
        <w:rPr>
          <w:rFonts w:hint="eastAsia" w:ascii="黑体" w:hAnsi="黑体" w:eastAsia="黑体" w:cs="黑体"/>
        </w:rPr>
      </w:pPr>
    </w:p>
    <w:p w14:paraId="4076E5EB">
      <w:pPr>
        <w:pStyle w:val="2"/>
        <w:spacing w:before="19" w:line="249" w:lineRule="auto"/>
        <w:ind w:left="3465" w:right="3468"/>
        <w:rPr>
          <w:rFonts w:hint="eastAsia" w:ascii="黑体" w:hAnsi="黑体" w:eastAsia="黑体" w:cs="黑体"/>
        </w:rPr>
      </w:pPr>
    </w:p>
    <w:p w14:paraId="1ACBFDD5">
      <w:pPr>
        <w:pStyle w:val="2"/>
        <w:spacing w:before="19" w:line="249" w:lineRule="auto"/>
        <w:ind w:left="3465" w:right="3468"/>
        <w:rPr>
          <w:rFonts w:hint="eastAsia" w:ascii="黑体" w:hAnsi="黑体" w:eastAsia="黑体" w:cs="黑体"/>
        </w:rPr>
      </w:pPr>
    </w:p>
    <w:p w14:paraId="64D53163">
      <w:pPr>
        <w:pStyle w:val="2"/>
        <w:spacing w:before="19" w:line="249" w:lineRule="auto"/>
        <w:ind w:left="3465" w:right="3468"/>
        <w:rPr>
          <w:rFonts w:hint="eastAsia" w:ascii="黑体" w:hAnsi="黑体" w:eastAsia="黑体" w:cs="黑体"/>
        </w:rPr>
      </w:pPr>
    </w:p>
    <w:p w14:paraId="2C8B417E">
      <w:pPr>
        <w:pStyle w:val="2"/>
        <w:spacing w:before="19" w:line="249" w:lineRule="auto"/>
        <w:ind w:left="3465" w:right="3468"/>
        <w:rPr>
          <w:rFonts w:hint="eastAsia" w:ascii="黑体" w:hAnsi="黑体" w:eastAsia="黑体" w:cs="黑体"/>
        </w:rPr>
      </w:pPr>
    </w:p>
    <w:p w14:paraId="0C57AFF1">
      <w:pPr>
        <w:pStyle w:val="2"/>
        <w:spacing w:before="19" w:line="249" w:lineRule="auto"/>
        <w:ind w:left="3465" w:right="3468"/>
        <w:rPr>
          <w:rFonts w:hint="eastAsia" w:ascii="黑体" w:hAnsi="黑体" w:eastAsia="黑体" w:cs="黑体"/>
        </w:rPr>
      </w:pPr>
    </w:p>
    <w:p w14:paraId="54D6EC5F">
      <w:pPr>
        <w:pStyle w:val="2"/>
        <w:spacing w:before="19" w:line="249" w:lineRule="auto"/>
        <w:ind w:left="3465" w:right="3468"/>
        <w:rPr>
          <w:rFonts w:hint="eastAsia" w:ascii="黑体" w:hAnsi="黑体" w:eastAsia="黑体" w:cs="黑体"/>
        </w:rPr>
      </w:pPr>
    </w:p>
    <w:p w14:paraId="36647104">
      <w:pPr>
        <w:pStyle w:val="2"/>
        <w:spacing w:before="19" w:line="249" w:lineRule="auto"/>
        <w:ind w:left="3465" w:right="3468"/>
        <w:rPr>
          <w:rFonts w:hint="eastAsia" w:ascii="黑体" w:hAnsi="黑体" w:eastAsia="黑体" w:cs="黑体"/>
        </w:rPr>
      </w:pPr>
    </w:p>
    <w:p w14:paraId="22572570">
      <w:pPr>
        <w:pStyle w:val="2"/>
        <w:spacing w:before="19" w:line="249" w:lineRule="auto"/>
        <w:ind w:left="3465" w:right="3468"/>
        <w:rPr>
          <w:rFonts w:hint="eastAsia" w:ascii="黑体" w:hAnsi="黑体" w:eastAsia="黑体" w:cs="黑体"/>
        </w:rPr>
      </w:pPr>
    </w:p>
    <w:p w14:paraId="756F6459">
      <w:pPr>
        <w:pStyle w:val="2"/>
        <w:spacing w:before="19" w:line="249" w:lineRule="auto"/>
        <w:ind w:left="3465" w:right="3468"/>
        <w:rPr>
          <w:rFonts w:hint="eastAsia" w:ascii="黑体" w:hAnsi="黑体" w:eastAsia="黑体" w:cs="黑体"/>
        </w:rPr>
      </w:pPr>
    </w:p>
    <w:p w14:paraId="7F8C7D4B">
      <w:pPr>
        <w:pStyle w:val="2"/>
        <w:spacing w:before="19" w:line="249" w:lineRule="auto"/>
        <w:ind w:left="3465" w:right="3468"/>
        <w:rPr>
          <w:rFonts w:hint="eastAsia" w:ascii="黑体" w:hAnsi="黑体" w:eastAsia="黑体" w:cs="黑体"/>
        </w:rPr>
      </w:pPr>
    </w:p>
    <w:p w14:paraId="73E67E31">
      <w:pPr>
        <w:pStyle w:val="2"/>
        <w:spacing w:before="19" w:line="249" w:lineRule="auto"/>
        <w:ind w:left="3465" w:right="3468"/>
        <w:rPr>
          <w:rFonts w:hint="eastAsia" w:ascii="黑体" w:hAnsi="黑体" w:eastAsia="黑体" w:cs="黑体"/>
        </w:rPr>
      </w:pPr>
    </w:p>
    <w:p w14:paraId="2B3D772C">
      <w:pPr>
        <w:pStyle w:val="2"/>
        <w:spacing w:before="19" w:line="249" w:lineRule="auto"/>
        <w:ind w:left="3465" w:right="3468"/>
        <w:rPr>
          <w:rFonts w:hint="eastAsia" w:ascii="黑体" w:hAnsi="黑体" w:eastAsia="黑体" w:cs="黑体"/>
        </w:rPr>
      </w:pPr>
    </w:p>
    <w:p w14:paraId="40353567">
      <w:pPr>
        <w:pStyle w:val="2"/>
        <w:spacing w:before="19" w:line="249" w:lineRule="auto"/>
        <w:ind w:left="3465" w:right="3468"/>
        <w:rPr>
          <w:rFonts w:hint="eastAsia" w:ascii="黑体" w:hAnsi="黑体" w:eastAsia="黑体" w:cs="黑体"/>
        </w:rPr>
      </w:pPr>
    </w:p>
    <w:p w14:paraId="1C240BEC">
      <w:pPr>
        <w:pStyle w:val="2"/>
        <w:spacing w:before="19" w:line="249" w:lineRule="auto"/>
        <w:ind w:left="0" w:leftChars="0" w:right="3468" w:firstLine="0" w:firstLineChars="0"/>
        <w:jc w:val="both"/>
        <w:rPr>
          <w:rFonts w:hint="eastAsia" w:ascii="黑体" w:hAnsi="黑体" w:eastAsia="黑体" w:cs="黑体"/>
        </w:rPr>
      </w:pPr>
    </w:p>
    <w:p w14:paraId="37112291">
      <w:pPr>
        <w:pStyle w:val="2"/>
        <w:spacing w:before="19" w:line="249" w:lineRule="auto"/>
        <w:ind w:left="3465" w:right="3468"/>
        <w:rPr>
          <w:rFonts w:hint="eastAsia" w:ascii="黑体" w:hAnsi="黑体" w:eastAsia="黑体" w:cs="黑体"/>
        </w:rPr>
      </w:pPr>
      <w:r>
        <w:rPr>
          <w:rFonts w:hint="eastAsia" w:ascii="黑体" w:hAnsi="黑体" w:eastAsia="黑体" w:cs="黑体"/>
        </w:rPr>
        <w:t>第三部分</w:t>
      </w:r>
    </w:p>
    <w:p w14:paraId="23843E99">
      <w:pPr>
        <w:pStyle w:val="2"/>
        <w:spacing w:before="19" w:line="249" w:lineRule="auto"/>
        <w:ind w:left="3465" w:right="3468"/>
        <w:rPr>
          <w:rFonts w:hint="eastAsia" w:ascii="黑体" w:hAnsi="黑体" w:eastAsia="黑体" w:cs="黑体"/>
        </w:rPr>
      </w:pPr>
      <w:r>
        <w:rPr>
          <w:rFonts w:hint="eastAsia" w:ascii="黑体" w:hAnsi="黑体" w:eastAsia="黑体" w:cs="黑体"/>
        </w:rPr>
        <w:t>名词解释</w:t>
      </w:r>
    </w:p>
    <w:p w14:paraId="738C8756">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一、财政拨款收入:是指区级财政当年拨付的资金;包括一般公共预算拨款、政府性基金预算拨款、国有资本经营预算拨款。</w:t>
      </w:r>
    </w:p>
    <w:p w14:paraId="60DF95DD">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二、财政专户管理资金:是指缴入财政专户、实行专项管理的高中以上学费、住宿费、高校委托培养费、函大、电大、夜大及短训班培训费等教育收费。</w:t>
      </w:r>
    </w:p>
    <w:p w14:paraId="0390CF9F">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三、事业收入:是指事业单位开展专业活动及辅助活动所取得的收入,不包括教育收费。</w:t>
      </w:r>
    </w:p>
    <w:p w14:paraId="548039ED">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四、事业单位经营收入:是指事业单位在专业业务活动及其辅助活动之外开展非独立核算经营活动取得的收入</w:t>
      </w:r>
    </w:p>
    <w:p w14:paraId="00A5FDB3">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五、其他收入:是指单位取得的除“财政拨款"、"事业收入"、"事业单位经营收入"等以外的收入。</w:t>
      </w:r>
    </w:p>
    <w:p w14:paraId="41981B35">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573E8DA8">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七、基本支出:是指为保障机构正常运转、完成日常工作任务所必需的开支,其内容包括人员经费和日常公用经费两部分。</w:t>
      </w:r>
    </w:p>
    <w:p w14:paraId="633025D5">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八、项目支出:是指在基本支出之外,为完成特定的行政工作任务或事业发展目标所发生的支出。</w:t>
      </w:r>
    </w:p>
    <w:p w14:paraId="1E7AA224">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55B7B1A1">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7B0CBA23">
      <w:pPr>
        <w:pStyle w:val="6"/>
        <w:spacing w:before="158" w:line="344" w:lineRule="auto"/>
        <w:ind w:left="108" w:right="101" w:firstLine="640"/>
        <w:jc w:val="both"/>
        <w:rPr>
          <w:rFonts w:hint="eastAsia" w:ascii="仿宋_GB2312" w:hAnsi="仿宋_GB2312" w:eastAsia="仿宋_GB2312" w:cs="仿宋_GB2312"/>
          <w:spacing w:val="21"/>
        </w:rPr>
      </w:pPr>
    </w:p>
    <w:p w14:paraId="1DFFE46B">
      <w:pPr>
        <w:pStyle w:val="6"/>
        <w:spacing w:before="158" w:line="344" w:lineRule="auto"/>
        <w:ind w:left="108" w:right="101" w:firstLine="640"/>
        <w:jc w:val="both"/>
        <w:rPr>
          <w:rFonts w:hint="eastAsia" w:ascii="仿宋_GB2312" w:hAnsi="仿宋_GB2312" w:eastAsia="仿宋_GB2312" w:cs="仿宋_GB2312"/>
          <w:spacing w:val="21"/>
        </w:rPr>
      </w:pPr>
      <w:r>
        <w:rPr>
          <w:rFonts w:hint="eastAsia" w:ascii="仿宋_GB2312" w:hAnsi="仿宋_GB2312" w:eastAsia="仿宋_GB2312" w:cs="仿宋_GB2312"/>
          <w:spacing w:val="21"/>
        </w:rPr>
        <w:t>附件:周口市</w:t>
      </w:r>
      <w:r>
        <w:rPr>
          <w:rFonts w:hint="eastAsia" w:ascii="仿宋_GB2312" w:hAnsi="仿宋_GB2312" w:eastAsia="仿宋_GB2312" w:cs="仿宋_GB2312"/>
          <w:spacing w:val="21"/>
          <w:lang w:val="en-US"/>
        </w:rPr>
        <w:t>川汇区</w:t>
      </w:r>
      <w:r>
        <w:rPr>
          <w:rFonts w:hint="eastAsia" w:ascii="仿宋_GB2312" w:hAnsi="仿宋_GB2312" w:eastAsia="仿宋_GB2312" w:cs="仿宋_GB2312"/>
          <w:spacing w:val="21"/>
          <w:lang w:val="en-US" w:eastAsia="zh-CN"/>
        </w:rPr>
        <w:t>太昊路</w:t>
      </w:r>
      <w:r>
        <w:rPr>
          <w:rFonts w:hint="eastAsia" w:ascii="仿宋_GB2312" w:hAnsi="仿宋_GB2312" w:eastAsia="仿宋_GB2312" w:cs="仿宋_GB2312"/>
          <w:spacing w:val="21"/>
          <w:lang w:val="en-US"/>
        </w:rPr>
        <w:t>办事处</w:t>
      </w:r>
      <w:r>
        <w:rPr>
          <w:rFonts w:hint="eastAsia" w:ascii="仿宋_GB2312" w:hAnsi="仿宋_GB2312" w:eastAsia="仿宋_GB2312" w:cs="仿宋_GB2312"/>
          <w:spacing w:val="21"/>
          <w:lang w:val="en-US" w:eastAsia="zh-CN"/>
        </w:rPr>
        <w:t>毛楼</w:t>
      </w:r>
      <w:r>
        <w:rPr>
          <w:rFonts w:hint="eastAsia" w:ascii="仿宋_GB2312" w:hAnsi="仿宋_GB2312" w:eastAsia="仿宋_GB2312" w:cs="仿宋_GB2312"/>
          <w:spacing w:val="21"/>
        </w:rPr>
        <w:t>小学</w:t>
      </w:r>
      <w:r>
        <w:rPr>
          <w:rFonts w:hint="eastAsia" w:ascii="仿宋_GB2312" w:hAnsi="仿宋_GB2312" w:eastAsia="仿宋_GB2312" w:cs="仿宋_GB2312"/>
          <w:spacing w:val="21"/>
          <w:lang w:eastAsia="zh-CN"/>
        </w:rPr>
        <w:t>2026</w:t>
      </w:r>
      <w:r>
        <w:rPr>
          <w:rFonts w:hint="eastAsia" w:ascii="仿宋_GB2312" w:hAnsi="仿宋_GB2312" w:eastAsia="仿宋_GB2312" w:cs="仿宋_GB2312"/>
          <w:spacing w:val="21"/>
        </w:rPr>
        <w:t>年度单位预算表</w:t>
      </w:r>
    </w:p>
    <w:p w14:paraId="5DE94F5E"/>
    <w:sectPr>
      <w:type w:val="continuous"/>
      <w:pgSz w:w="12480" w:h="17240"/>
      <w:pgMar w:top="2098" w:right="1474" w:bottom="1984" w:left="1587"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crosoft JhengHei">
    <w:panose1 w:val="020B0604030504040204"/>
    <w:charset w:val="88"/>
    <w:family w:val="swiss"/>
    <w:pitch w:val="default"/>
    <w:sig w:usb0="000002A7" w:usb1="28CF4400" w:usb2="00000016" w:usb3="00000000" w:csb0="00100009"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2BE21744">
    <w:panose1 w:val="02020500000000000000"/>
    <w:charset w:val="88"/>
    <w:family w:val="auto"/>
    <w:pitch w:val="default"/>
    <w:sig w:usb0="00000001" w:usb1="00000000" w:usb2="00000000" w:usb3="00000000" w:csb0="00100001" w:csb1="00000000"/>
  </w:font>
  <w:font w:name="KSOF85BD8185">
    <w:panose1 w:val="02020500000000000000"/>
    <w:charset w:val="88"/>
    <w:family w:val="auto"/>
    <w:pitch w:val="default"/>
    <w:sig w:usb0="00000001" w:usb1="00000000" w:usb2="00000000" w:usb3="00000000" w:csb0="0010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6062E9"/>
    <w:multiLevelType w:val="singleLevel"/>
    <w:tmpl w:val="AF6062E9"/>
    <w:lvl w:ilvl="0" w:tentative="0">
      <w:start w:val="1"/>
      <w:numFmt w:val="chineseCounting"/>
      <w:suff w:val="nothing"/>
      <w:lvlText w:val="%1、"/>
      <w:lvlJc w:val="left"/>
      <w:rPr>
        <w:rFonts w:hint="eastAsia"/>
      </w:rPr>
    </w:lvl>
  </w:abstractNum>
  <w:abstractNum w:abstractNumId="1">
    <w:nsid w:val="F5A8B53E"/>
    <w:multiLevelType w:val="singleLevel"/>
    <w:tmpl w:val="F5A8B53E"/>
    <w:lvl w:ilvl="0" w:tentative="0">
      <w:start w:val="7"/>
      <w:numFmt w:val="chineseCounting"/>
      <w:suff w:val="nothing"/>
      <w:lvlText w:val="%1、"/>
      <w:lvlJc w:val="left"/>
      <w:rPr>
        <w:rFonts w:hint="eastAsia"/>
      </w:rPr>
    </w:lvl>
  </w:abstractNum>
  <w:abstractNum w:abstractNumId="2">
    <w:nsid w:val="27D459F5"/>
    <w:multiLevelType w:val="singleLevel"/>
    <w:tmpl w:val="27D459F5"/>
    <w:lvl w:ilvl="0" w:tentative="0">
      <w:start w:val="10"/>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hyphenationZone w:val="360"/>
  <w:drawingGridHorizontalSpacing w:val="110"/>
  <w:displayHorizontalDrawingGridEvery w:val="1"/>
  <w:displayVerticalDrawingGridEvery w:val="1"/>
  <w:noPunctuationKerning w:val="1"/>
  <w:characterSpacingControl w:val="doNotCompress"/>
  <w:compat>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FkNDY0OWNiM2Y1ZjkxNTlkNjk1MDA1ZmNmNjUwN2MifQ=="/>
  </w:docVars>
  <w:rsids>
    <w:rsidRoot w:val="0090242C"/>
    <w:rsid w:val="001C53C9"/>
    <w:rsid w:val="004B64F6"/>
    <w:rsid w:val="005036A2"/>
    <w:rsid w:val="00580592"/>
    <w:rsid w:val="006D676D"/>
    <w:rsid w:val="0090242C"/>
    <w:rsid w:val="009C0F0C"/>
    <w:rsid w:val="00A56FBF"/>
    <w:rsid w:val="00B95957"/>
    <w:rsid w:val="00BC2D88"/>
    <w:rsid w:val="00C93D15"/>
    <w:rsid w:val="00CC3507"/>
    <w:rsid w:val="00CC4611"/>
    <w:rsid w:val="00DD3607"/>
    <w:rsid w:val="00EC5615"/>
    <w:rsid w:val="02CF25AB"/>
    <w:rsid w:val="06744454"/>
    <w:rsid w:val="06EB0BBA"/>
    <w:rsid w:val="096237B9"/>
    <w:rsid w:val="0A560542"/>
    <w:rsid w:val="0B394F9D"/>
    <w:rsid w:val="0CF16F4C"/>
    <w:rsid w:val="12970AB4"/>
    <w:rsid w:val="1328539F"/>
    <w:rsid w:val="136930DD"/>
    <w:rsid w:val="13737F6D"/>
    <w:rsid w:val="176F0B39"/>
    <w:rsid w:val="19AD077C"/>
    <w:rsid w:val="1B942C09"/>
    <w:rsid w:val="1CE77BA3"/>
    <w:rsid w:val="1D1F3C43"/>
    <w:rsid w:val="1D3C4CC7"/>
    <w:rsid w:val="1F43738D"/>
    <w:rsid w:val="1FFD5331"/>
    <w:rsid w:val="224C4C98"/>
    <w:rsid w:val="227E0D23"/>
    <w:rsid w:val="22D35932"/>
    <w:rsid w:val="24B37B2D"/>
    <w:rsid w:val="25AF5095"/>
    <w:rsid w:val="2BB84C5F"/>
    <w:rsid w:val="2F3C7955"/>
    <w:rsid w:val="2FAB6596"/>
    <w:rsid w:val="303944F0"/>
    <w:rsid w:val="33450F7B"/>
    <w:rsid w:val="345E211C"/>
    <w:rsid w:val="36DD7432"/>
    <w:rsid w:val="381F1BC2"/>
    <w:rsid w:val="38BD48BB"/>
    <w:rsid w:val="393A4CCA"/>
    <w:rsid w:val="394B5B81"/>
    <w:rsid w:val="3D031BA3"/>
    <w:rsid w:val="3F323B15"/>
    <w:rsid w:val="41B14A64"/>
    <w:rsid w:val="4215191C"/>
    <w:rsid w:val="47022DDB"/>
    <w:rsid w:val="47041571"/>
    <w:rsid w:val="4AAC10A9"/>
    <w:rsid w:val="4D764799"/>
    <w:rsid w:val="4DEB281B"/>
    <w:rsid w:val="4DF41408"/>
    <w:rsid w:val="4E9F6F45"/>
    <w:rsid w:val="4EE554BC"/>
    <w:rsid w:val="4F1F63A6"/>
    <w:rsid w:val="4FD63E8B"/>
    <w:rsid w:val="51E16433"/>
    <w:rsid w:val="537707C3"/>
    <w:rsid w:val="57FA3D86"/>
    <w:rsid w:val="5AC62645"/>
    <w:rsid w:val="5ED63609"/>
    <w:rsid w:val="5F64242D"/>
    <w:rsid w:val="610145F5"/>
    <w:rsid w:val="62673D19"/>
    <w:rsid w:val="62A82630"/>
    <w:rsid w:val="642D54E3"/>
    <w:rsid w:val="64BC5C7C"/>
    <w:rsid w:val="68FD2542"/>
    <w:rsid w:val="6949564E"/>
    <w:rsid w:val="695E48F2"/>
    <w:rsid w:val="6A897054"/>
    <w:rsid w:val="6B751246"/>
    <w:rsid w:val="6D820A07"/>
    <w:rsid w:val="6F655367"/>
    <w:rsid w:val="715C7408"/>
    <w:rsid w:val="740213AC"/>
    <w:rsid w:val="75BD6EE7"/>
    <w:rsid w:val="76986F0B"/>
    <w:rsid w:val="785D74CA"/>
    <w:rsid w:val="78A044E4"/>
    <w:rsid w:val="7AE1423A"/>
    <w:rsid w:val="7C4838A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PMingLiU" w:hAnsi="PMingLiU" w:eastAsia="PMingLiU" w:cs="PMingLiU"/>
      <w:sz w:val="22"/>
      <w:szCs w:val="22"/>
      <w:lang w:val="zh-CN" w:eastAsia="zh-CN" w:bidi="zh-CN"/>
    </w:rPr>
  </w:style>
  <w:style w:type="paragraph" w:styleId="2">
    <w:name w:val="heading 1"/>
    <w:basedOn w:val="1"/>
    <w:next w:val="1"/>
    <w:autoRedefine/>
    <w:qFormat/>
    <w:uiPriority w:val="1"/>
    <w:pPr>
      <w:spacing w:before="25"/>
      <w:ind w:left="1950"/>
      <w:jc w:val="center"/>
      <w:outlineLvl w:val="0"/>
    </w:pPr>
    <w:rPr>
      <w:rFonts w:ascii="PMingLiU" w:hAnsi="PMingLiU" w:eastAsia="PMingLiU" w:cs="PMingLiU"/>
      <w:sz w:val="49"/>
      <w:szCs w:val="49"/>
      <w:lang w:val="zh-CN" w:eastAsia="zh-CN" w:bidi="zh-CN"/>
    </w:rPr>
  </w:style>
  <w:style w:type="paragraph" w:styleId="3">
    <w:name w:val="heading 2"/>
    <w:basedOn w:val="1"/>
    <w:next w:val="1"/>
    <w:qFormat/>
    <w:uiPriority w:val="1"/>
    <w:pPr>
      <w:ind w:left="103"/>
      <w:outlineLvl w:val="1"/>
    </w:pPr>
    <w:rPr>
      <w:rFonts w:ascii="PMingLiU" w:hAnsi="PMingLiU" w:eastAsia="PMingLiU" w:cs="PMingLiU"/>
      <w:sz w:val="40"/>
      <w:szCs w:val="40"/>
      <w:lang w:val="zh-CN" w:eastAsia="zh-CN" w:bidi="zh-CN"/>
    </w:rPr>
  </w:style>
  <w:style w:type="paragraph" w:styleId="4">
    <w:name w:val="heading 3"/>
    <w:basedOn w:val="1"/>
    <w:next w:val="1"/>
    <w:qFormat/>
    <w:uiPriority w:val="1"/>
    <w:pPr>
      <w:spacing w:before="219"/>
      <w:ind w:left="227"/>
      <w:outlineLvl w:val="2"/>
    </w:pPr>
    <w:rPr>
      <w:rFonts w:ascii="Microsoft JhengHei" w:hAnsi="Microsoft JhengHei" w:eastAsia="Microsoft JhengHei" w:cs="Microsoft JhengHei"/>
      <w:b/>
      <w:bCs/>
      <w:sz w:val="38"/>
      <w:szCs w:val="38"/>
      <w:lang w:val="zh-CN" w:eastAsia="zh-CN" w:bidi="zh-CN"/>
    </w:rPr>
  </w:style>
  <w:style w:type="paragraph" w:styleId="5">
    <w:name w:val="heading 4"/>
    <w:basedOn w:val="1"/>
    <w:next w:val="1"/>
    <w:qFormat/>
    <w:uiPriority w:val="1"/>
    <w:pPr>
      <w:ind w:left="749"/>
      <w:outlineLvl w:val="3"/>
    </w:pPr>
    <w:rPr>
      <w:rFonts w:ascii="Microsoft JhengHei" w:hAnsi="Microsoft JhengHei" w:eastAsia="Microsoft JhengHei" w:cs="Microsoft JhengHei"/>
      <w:b/>
      <w:bCs/>
      <w:sz w:val="32"/>
      <w:szCs w:val="32"/>
      <w:lang w:val="zh-CN" w:eastAsia="zh-CN" w:bidi="zh-CN"/>
    </w:rPr>
  </w:style>
  <w:style w:type="character" w:default="1" w:styleId="10">
    <w:name w:val="Default Paragraph Font"/>
    <w:unhideWhenUsed/>
    <w:uiPriority w:val="1"/>
  </w:style>
  <w:style w:type="table" w:default="1" w:styleId="9">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1"/>
    <w:rPr>
      <w:rFonts w:ascii="PMingLiU" w:hAnsi="PMingLiU" w:eastAsia="PMingLiU" w:cs="PMingLiU"/>
      <w:sz w:val="32"/>
      <w:szCs w:val="32"/>
      <w:lang w:val="zh-CN" w:eastAsia="zh-CN" w:bidi="zh-CN"/>
    </w:rPr>
  </w:style>
  <w:style w:type="paragraph" w:styleId="7">
    <w:name w:val="footer"/>
    <w:basedOn w:val="1"/>
    <w:link w:val="11"/>
    <w:autoRedefine/>
    <w:qFormat/>
    <w:uiPriority w:val="0"/>
    <w:pPr>
      <w:tabs>
        <w:tab w:val="center" w:pos="4153"/>
        <w:tab w:val="right" w:pos="8306"/>
      </w:tabs>
      <w:snapToGrid w:val="0"/>
    </w:pPr>
    <w:rPr>
      <w:sz w:val="18"/>
      <w:szCs w:val="18"/>
    </w:rPr>
  </w:style>
  <w:style w:type="paragraph" w:styleId="8">
    <w:name w:val="header"/>
    <w:basedOn w:val="1"/>
    <w:link w:val="12"/>
    <w:uiPriority w:val="0"/>
    <w:pPr>
      <w:pBdr>
        <w:bottom w:val="single" w:color="auto" w:sz="6" w:space="1"/>
      </w:pBdr>
      <w:tabs>
        <w:tab w:val="center" w:pos="4153"/>
        <w:tab w:val="right" w:pos="8306"/>
      </w:tabs>
      <w:snapToGrid w:val="0"/>
      <w:jc w:val="center"/>
    </w:pPr>
    <w:rPr>
      <w:sz w:val="18"/>
      <w:szCs w:val="18"/>
    </w:rPr>
  </w:style>
  <w:style w:type="character" w:customStyle="1" w:styleId="11">
    <w:name w:val="页脚 Char"/>
    <w:basedOn w:val="10"/>
    <w:link w:val="7"/>
    <w:qFormat/>
    <w:uiPriority w:val="0"/>
    <w:rPr>
      <w:rFonts w:ascii="PMingLiU" w:hAnsi="PMingLiU" w:eastAsia="PMingLiU" w:cs="PMingLiU"/>
      <w:sz w:val="18"/>
      <w:szCs w:val="18"/>
      <w:lang w:val="zh-CN" w:bidi="zh-CN"/>
    </w:rPr>
  </w:style>
  <w:style w:type="character" w:customStyle="1" w:styleId="12">
    <w:name w:val="页眉 Char"/>
    <w:basedOn w:val="10"/>
    <w:link w:val="8"/>
    <w:uiPriority w:val="0"/>
    <w:rPr>
      <w:rFonts w:ascii="PMingLiU" w:hAnsi="PMingLiU" w:eastAsia="PMingLiU" w:cs="PMingLiU"/>
      <w:sz w:val="18"/>
      <w:szCs w:val="18"/>
      <w:lang w:val="zh-CN" w:bidi="zh-CN"/>
    </w:rPr>
  </w:style>
  <w:style w:type="paragraph" w:styleId="13">
    <w:name w:val="List Paragraph"/>
    <w:basedOn w:val="1"/>
    <w:qFormat/>
    <w:uiPriority w:val="1"/>
    <w:rPr>
      <w:lang w:val="zh-CN" w:eastAsia="zh-CN" w:bidi="zh-CN"/>
    </w:rPr>
  </w:style>
  <w:style w:type="paragraph" w:customStyle="1" w:styleId="14">
    <w:name w:val="Table Paragraph"/>
    <w:basedOn w:val="1"/>
    <w:autoRedefine/>
    <w:qFormat/>
    <w:uiPriority w:val="1"/>
    <w:rPr>
      <w:rFonts w:ascii="PMingLiU" w:hAnsi="PMingLiU" w:eastAsia="PMingLiU" w:cs="PMingLiU"/>
      <w:lang w:val="zh-CN" w:eastAsia="zh-CN" w:bidi="zh-CN"/>
    </w:rPr>
  </w:style>
  <w:style w:type="table" w:customStyle="1" w:styleId="15">
    <w:name w:val="Table Normal"/>
    <w:unhideWhenUsed/>
    <w:qFormat/>
    <w:uiPriority w:val="2"/>
    <w:rPr>
      <w:lang w:val="en-US" w:eastAsia="zh-CN" w:bidi="ar-SA"/>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9</Pages>
  <Words>2784</Words>
  <Characters>2958</Characters>
  <Lines>24</Lines>
  <Paragraphs>7</Paragraphs>
  <TotalTime>57</TotalTime>
  <ScaleCrop>false</ScaleCrop>
  <LinksUpToDate>false</LinksUpToDate>
  <CharactersWithSpaces>2974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2022-06-22T02:16:00Z</dcterms:created>
  <dc:creator>Kingsoft-PDF</dc:creator>
  <cp:keywords>6299820a33187000156dc9a2</cp:keywords>
  <cp:lastModifiedBy>农夫山泉</cp:lastModifiedBy>
  <dcterms:modified xsi:type="dcterms:W3CDTF">2026-03-11T09:38:44Z</dcterms:modified>
  <dc:subject>pdfbuilder</dc:subject>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2022-06-17T00:00:00Z</vt:filetime>
  </property>
  <property fmtid="{D5CDD505-2E9C-101B-9397-08002B2CF9AE}" pid="3" name="Creator">
    <vt:lpwstr>WPS 文字</vt:lpwstr>
  </property>
  <property fmtid="{D5CDD505-2E9C-101B-9397-08002B2CF9AE}" pid="4" name="LastSaved">
    <vt:filetime>2022-06-22T00:00:00Z</vt:filetime>
  </property>
  <property fmtid="{D5CDD505-2E9C-101B-9397-08002B2CF9AE}" pid="5" name="KSOProductBuildVer">
    <vt:lpwstr>2052-12.1.0.25225</vt:lpwstr>
  </property>
  <property fmtid="{D5CDD505-2E9C-101B-9397-08002B2CF9AE}" pid="6" name="ICV">
    <vt:lpwstr>4F07793D6A644F398A348A3DE6F3539F_13</vt:lpwstr>
  </property>
  <property fmtid="{D5CDD505-2E9C-101B-9397-08002B2CF9AE}" pid="7" name="KSOTemplateDocerSaveRecord">
    <vt:lpwstr>eyJoZGlkIjoiODFkNDY0OWNiM2Y1ZjkxNTlkNjk1MDA1ZmNmNjUwN2MiLCJ1c2VySWQiOiI5NzA0NDQyMzgifQ==</vt:lpwstr>
  </property>
</Properties>
</file>