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val="0"/>
        <w:wordWrap/>
        <w:snapToGrid w:val="0"/>
        <w:spacing w:line="640" w:lineRule="exact"/>
        <w:ind w:right="0"/>
        <w:jc w:val="both"/>
        <w:textAlignment w:val="auto"/>
        <w:rPr>
          <w:rFonts w:hint="default" w:ascii="方正小标宋简体" w:hAnsi="方正小标宋简体" w:eastAsia="方正小标宋简体"/>
          <w:color w:val="000000"/>
          <w:sz w:val="44"/>
          <w:szCs w:val="44"/>
          <w:lang w:val="en-US" w:eastAsia="zh-CN"/>
        </w:rPr>
      </w:pPr>
      <w:r>
        <w:rPr>
          <w:rFonts w:ascii="Times New Roman" w:hAnsi="Times New Roman" w:eastAsia="宋体" w:cs="Times New Roman"/>
          <w:color w:val="000000"/>
          <w:kern w:val="2"/>
          <w:sz w:val="21"/>
          <w:szCs w:val="21"/>
          <w:lang w:val="en-US" w:eastAsia="zh-CN" w:bidi="ar-SA"/>
        </w:rPr>
        <mc:AlternateContent>
          <mc:Choice Requires="wps">
            <w:drawing>
              <wp:anchor distT="35560" distB="35560" distL="35560" distR="35560" simplePos="0" relativeHeight="251659264" behindDoc="0" locked="0" layoutInCell="1" allowOverlap="1">
                <wp:simplePos x="0" y="0"/>
                <wp:positionH relativeFrom="page">
                  <wp:posOffset>972185</wp:posOffset>
                </wp:positionH>
                <wp:positionV relativeFrom="page">
                  <wp:posOffset>1123950</wp:posOffset>
                </wp:positionV>
                <wp:extent cx="2124075" cy="699770"/>
                <wp:effectExtent l="0" t="0" r="0" b="0"/>
                <wp:wrapSquare wrapText="largest"/>
                <wp:docPr id="3" name="矩形 3"/>
                <wp:cNvGraphicFramePr/>
                <a:graphic xmlns:a="http://schemas.openxmlformats.org/drawingml/2006/main">
                  <a:graphicData uri="http://schemas.microsoft.com/office/word/2010/wordprocessingShape">
                    <wps:wsp>
                      <wps:cNvSpPr/>
                      <wps:spPr>
                        <a:xfrm>
                          <a:off x="0" y="0"/>
                          <a:ext cx="2124075" cy="699770"/>
                        </a:xfrm>
                        <a:prstGeom prst="rect">
                          <a:avLst/>
                        </a:prstGeom>
                        <a:noFill/>
                        <a:ln>
                          <a:noFill/>
                        </a:ln>
                      </wps:spPr>
                      <wps:txbx>
                        <w:txbxContent>
                          <w:p>
                            <w:pPr>
                              <w:spacing w:line="440" w:lineRule="exact"/>
                              <w:jc w:val="distribute"/>
                              <w:rPr>
                                <w:rFonts w:ascii="黑体" w:hAnsi="黑体" w:eastAsia="黑体"/>
                                <w:color w:val="000000"/>
                                <w:sz w:val="28"/>
                                <w:szCs w:val="28"/>
                              </w:rPr>
                            </w:pPr>
                            <w:r>
                              <w:rPr>
                                <w:rFonts w:hint="eastAsia" w:ascii="黑体" w:hAnsi="黑体" w:eastAsia="黑体" w:cs="黑体"/>
                                <w:color w:val="000000"/>
                                <w:sz w:val="28"/>
                                <w:szCs w:val="28"/>
                              </w:rPr>
                              <w:t>川汇区十</w:t>
                            </w:r>
                            <w:r>
                              <w:rPr>
                                <w:rFonts w:hint="eastAsia" w:ascii="黑体" w:hAnsi="黑体" w:eastAsia="黑体" w:cs="黑体"/>
                                <w:color w:val="000000"/>
                                <w:sz w:val="28"/>
                                <w:szCs w:val="28"/>
                                <w:lang w:val="en-US" w:eastAsia="zh-CN"/>
                              </w:rPr>
                              <w:t>六</w:t>
                            </w:r>
                            <w:r>
                              <w:rPr>
                                <w:rFonts w:hint="eastAsia" w:ascii="黑体" w:hAnsi="黑体" w:eastAsia="黑体" w:cs="黑体"/>
                                <w:color w:val="000000"/>
                                <w:sz w:val="28"/>
                                <w:szCs w:val="28"/>
                              </w:rPr>
                              <w:t>届人大常委会</w:t>
                            </w:r>
                          </w:p>
                          <w:p>
                            <w:pPr>
                              <w:spacing w:line="440" w:lineRule="exact"/>
                              <w:jc w:val="distribute"/>
                              <w:rPr>
                                <w:rFonts w:hint="eastAsia" w:eastAsia="黑体"/>
                                <w:color w:val="000000"/>
                                <w:sz w:val="28"/>
                                <w:szCs w:val="28"/>
                                <w:lang w:val="en-US" w:eastAsia="zh-CN"/>
                              </w:rPr>
                            </w:pPr>
                            <w:r>
                              <w:rPr>
                                <w:rFonts w:hint="eastAsia" w:ascii="黑体" w:hAnsi="黑体" w:eastAsia="黑体" w:cs="黑体"/>
                                <w:color w:val="000000"/>
                                <w:sz w:val="28"/>
                                <w:szCs w:val="28"/>
                                <w:lang w:eastAsia="zh-CN"/>
                              </w:rPr>
                              <w:t>第</w:t>
                            </w:r>
                            <w:r>
                              <w:rPr>
                                <w:rFonts w:hint="eastAsia" w:ascii="黑体" w:hAnsi="黑体" w:eastAsia="黑体" w:cs="黑体"/>
                                <w:color w:val="000000"/>
                                <w:sz w:val="28"/>
                                <w:szCs w:val="28"/>
                                <w:lang w:val="en-US" w:eastAsia="zh-CN"/>
                              </w:rPr>
                              <w:t>二</w:t>
                            </w:r>
                            <w:r>
                              <w:rPr>
                                <w:rFonts w:hint="eastAsia" w:ascii="黑体" w:hAnsi="黑体" w:eastAsia="黑体" w:cs="黑体"/>
                                <w:color w:val="000000"/>
                                <w:sz w:val="28"/>
                                <w:szCs w:val="28"/>
                              </w:rPr>
                              <w:t>次会议文件</w:t>
                            </w:r>
                            <w:r>
                              <w:rPr>
                                <w:rFonts w:hint="eastAsia" w:ascii="黑体" w:hAnsi="黑体" w:eastAsia="黑体" w:cs="黑体"/>
                                <w:color w:val="000000"/>
                                <w:sz w:val="28"/>
                                <w:szCs w:val="28"/>
                                <w:lang w:val="en-US" w:eastAsia="zh-CN"/>
                              </w:rPr>
                              <w:t>五</w:t>
                            </w:r>
                          </w:p>
                        </w:txbxContent>
                      </wps:txbx>
                      <wps:bodyPr lIns="35941" tIns="35941" rIns="35941" bIns="35941" upright="1"/>
                    </wps:wsp>
                  </a:graphicData>
                </a:graphic>
              </wp:anchor>
            </w:drawing>
          </mc:Choice>
          <mc:Fallback>
            <w:pict>
              <v:rect id="_x0000_s1026" o:spid="_x0000_s1026" o:spt="1" style="position:absolute;left:0pt;margin-left:76.55pt;margin-top:88.5pt;height:55.1pt;width:167.25pt;mso-position-horizontal-relative:page;mso-position-vertical-relative:page;mso-wrap-distance-bottom:2.8pt;mso-wrap-distance-left:2.8pt;mso-wrap-distance-right:2.8pt;mso-wrap-distance-top:2.8pt;z-index:251659264;mso-width-relative:page;mso-height-relative:page;" filled="f" stroked="f" coordsize="21600,21600" o:gfxdata="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">
                <v:fill on="f" focussize="0,0"/>
                <v:stroke on="f"/>
                <v:imagedata o:title=""/>
                <o:lock v:ext="edit" aspectratio="f"/>
                <v:textbox inset="0.998361111111111mm,0.998361111111111mm,0.998361111111111mm,0.998361111111111mm">
                  <w:txbxContent>
                    <w:p>
                      <w:pPr>
                        <w:spacing w:line="440" w:lineRule="exact"/>
                        <w:jc w:val="distribute"/>
                        <w:rPr>
                          <w:rFonts w:ascii="黑体" w:hAnsi="黑体" w:eastAsia="黑体"/>
                          <w:color w:val="000000"/>
                          <w:sz w:val="28"/>
                          <w:szCs w:val="28"/>
                        </w:rPr>
                      </w:pPr>
                      <w:r>
                        <w:rPr>
                          <w:rFonts w:hint="eastAsia" w:ascii="黑体" w:hAnsi="黑体" w:eastAsia="黑体" w:cs="黑体"/>
                          <w:color w:val="000000"/>
                          <w:sz w:val="28"/>
                          <w:szCs w:val="28"/>
                        </w:rPr>
                        <w:t>川汇区十</w:t>
                      </w:r>
                      <w:r>
                        <w:rPr>
                          <w:rFonts w:hint="eastAsia" w:ascii="黑体" w:hAnsi="黑体" w:eastAsia="黑体" w:cs="黑体"/>
                          <w:color w:val="000000"/>
                          <w:sz w:val="28"/>
                          <w:szCs w:val="28"/>
                          <w:lang w:val="en-US" w:eastAsia="zh-CN"/>
                        </w:rPr>
                        <w:t>六</w:t>
                      </w:r>
                      <w:r>
                        <w:rPr>
                          <w:rFonts w:hint="eastAsia" w:ascii="黑体" w:hAnsi="黑体" w:eastAsia="黑体" w:cs="黑体"/>
                          <w:color w:val="000000"/>
                          <w:sz w:val="28"/>
                          <w:szCs w:val="28"/>
                        </w:rPr>
                        <w:t>届人大常委会</w:t>
                      </w:r>
                    </w:p>
                    <w:p>
                      <w:pPr>
                        <w:spacing w:line="440" w:lineRule="exact"/>
                        <w:jc w:val="distribute"/>
                        <w:rPr>
                          <w:rFonts w:hint="eastAsia" w:eastAsia="黑体"/>
                          <w:color w:val="000000"/>
                          <w:sz w:val="28"/>
                          <w:szCs w:val="28"/>
                          <w:lang w:val="en-US" w:eastAsia="zh-CN"/>
                        </w:rPr>
                      </w:pPr>
                      <w:r>
                        <w:rPr>
                          <w:rFonts w:hint="eastAsia" w:ascii="黑体" w:hAnsi="黑体" w:eastAsia="黑体" w:cs="黑体"/>
                          <w:color w:val="000000"/>
                          <w:sz w:val="28"/>
                          <w:szCs w:val="28"/>
                          <w:lang w:eastAsia="zh-CN"/>
                        </w:rPr>
                        <w:t>第</w:t>
                      </w:r>
                      <w:r>
                        <w:rPr>
                          <w:rFonts w:hint="eastAsia" w:ascii="黑体" w:hAnsi="黑体" w:eastAsia="黑体" w:cs="黑体"/>
                          <w:color w:val="000000"/>
                          <w:sz w:val="28"/>
                          <w:szCs w:val="28"/>
                          <w:lang w:val="en-US" w:eastAsia="zh-CN"/>
                        </w:rPr>
                        <w:t>二</w:t>
                      </w:r>
                      <w:r>
                        <w:rPr>
                          <w:rFonts w:hint="eastAsia" w:ascii="黑体" w:hAnsi="黑体" w:eastAsia="黑体" w:cs="黑体"/>
                          <w:color w:val="000000"/>
                          <w:sz w:val="28"/>
                          <w:szCs w:val="28"/>
                        </w:rPr>
                        <w:t>次会议文件</w:t>
                      </w:r>
                      <w:r>
                        <w:rPr>
                          <w:rFonts w:hint="eastAsia" w:ascii="黑体" w:hAnsi="黑体" w:eastAsia="黑体" w:cs="黑体"/>
                          <w:color w:val="000000"/>
                          <w:sz w:val="28"/>
                          <w:szCs w:val="28"/>
                          <w:lang w:val="en-US" w:eastAsia="zh-CN"/>
                        </w:rPr>
                        <w:t>五</w:t>
                      </w:r>
                    </w:p>
                  </w:txbxContent>
                </v:textbox>
                <w10:wrap type="square" side="largest"/>
              </v:rect>
            </w:pict>
          </mc:Fallback>
        </mc:AlternateContent>
      </w:r>
      <w:r>
        <w:rPr>
          <w:rFonts w:hint="eastAsia" w:ascii="方正小标宋简体" w:hAnsi="方正小标宋简体" w:eastAsia="方正小标宋简体"/>
          <w:color w:val="000000"/>
          <w:sz w:val="44"/>
          <w:szCs w:val="44"/>
          <w:lang w:val="en-US" w:eastAsia="zh-CN"/>
        </w:rPr>
        <w:t xml:space="preserve">      </w:t>
      </w:r>
    </w:p>
    <w:p>
      <w:pPr>
        <w:widowControl w:val="0"/>
        <w:wordWrap/>
        <w:snapToGrid w:val="0"/>
        <w:spacing w:line="640" w:lineRule="exact"/>
        <w:ind w:right="0"/>
        <w:jc w:val="both"/>
        <w:textAlignment w:val="auto"/>
        <w:rPr>
          <w:rFonts w:ascii="方正小标宋简体" w:hAnsi="方正小标宋简体" w:eastAsia="方正小标宋简体"/>
          <w:color w:val="000000"/>
          <w:sz w:val="44"/>
          <w:szCs w:val="44"/>
        </w:rPr>
      </w:pPr>
    </w:p>
    <w:p>
      <w:pPr>
        <w:pStyle w:val="2"/>
      </w:pPr>
    </w:p>
    <w:p>
      <w:pPr>
        <w:widowControl w:val="0"/>
        <w:wordWrap/>
        <w:snapToGrid w:val="0"/>
        <w:spacing w:line="640" w:lineRule="exact"/>
        <w:ind w:right="0"/>
        <w:jc w:val="center"/>
        <w:textAlignment w:val="auto"/>
        <w:rPr>
          <w:rFonts w:ascii="方正小标宋简体" w:hAnsi="方正小标宋简体" w:eastAsia="方正小标宋简体"/>
          <w:color w:val="auto"/>
          <w:sz w:val="44"/>
          <w:szCs w:val="44"/>
        </w:rPr>
      </w:pPr>
      <w:r>
        <w:rPr>
          <w:rFonts w:hint="eastAsia" w:ascii="方正小标宋简体" w:hAnsi="方正小标宋简体" w:eastAsia="方正小标宋简体" w:cs="方正小标宋简体"/>
          <w:color w:val="auto"/>
          <w:sz w:val="44"/>
          <w:szCs w:val="44"/>
        </w:rPr>
        <w:t>关于川汇区</w:t>
      </w:r>
      <w:r>
        <w:rPr>
          <w:rFonts w:ascii="方正小标宋简体" w:hAnsi="方正小标宋简体" w:eastAsia="方正小标宋简体" w:cs="方正小标宋简体"/>
          <w:color w:val="auto"/>
          <w:sz w:val="44"/>
          <w:szCs w:val="44"/>
        </w:rPr>
        <w:t>20</w:t>
      </w:r>
      <w:r>
        <w:rPr>
          <w:rFonts w:hint="eastAsia" w:ascii="方正小标宋简体" w:hAnsi="方正小标宋简体" w:eastAsia="方正小标宋简体" w:cs="方正小标宋简体"/>
          <w:color w:val="auto"/>
          <w:sz w:val="44"/>
          <w:szCs w:val="44"/>
          <w:lang w:val="en-US" w:eastAsia="zh-CN"/>
        </w:rPr>
        <w:t>21</w:t>
      </w:r>
      <w:r>
        <w:rPr>
          <w:rFonts w:hint="eastAsia" w:ascii="方正小标宋简体" w:hAnsi="方正小标宋简体" w:eastAsia="方正小标宋简体" w:cs="方正小标宋简体"/>
          <w:color w:val="auto"/>
          <w:sz w:val="44"/>
          <w:szCs w:val="44"/>
        </w:rPr>
        <w:t>年财政决算和</w:t>
      </w:r>
      <w:r>
        <w:rPr>
          <w:rFonts w:ascii="方正小标宋简体" w:hAnsi="方正小标宋简体" w:eastAsia="方正小标宋简体" w:cs="方正小标宋简体"/>
          <w:color w:val="auto"/>
          <w:sz w:val="44"/>
          <w:szCs w:val="44"/>
        </w:rPr>
        <w:t>20</w:t>
      </w:r>
      <w:r>
        <w:rPr>
          <w:rFonts w:hint="eastAsia" w:ascii="方正小标宋简体" w:hAnsi="方正小标宋简体" w:eastAsia="方正小标宋简体" w:cs="方正小标宋简体"/>
          <w:color w:val="auto"/>
          <w:sz w:val="44"/>
          <w:szCs w:val="44"/>
          <w:lang w:val="en-US" w:eastAsia="zh-CN"/>
        </w:rPr>
        <w:t>22</w:t>
      </w:r>
      <w:r>
        <w:rPr>
          <w:rFonts w:hint="eastAsia" w:ascii="方正小标宋简体" w:hAnsi="方正小标宋简体" w:eastAsia="方正小标宋简体" w:cs="方正小标宋简体"/>
          <w:color w:val="auto"/>
          <w:sz w:val="44"/>
          <w:szCs w:val="44"/>
        </w:rPr>
        <w:t>年</w:t>
      </w:r>
    </w:p>
    <w:p>
      <w:pPr>
        <w:widowControl w:val="0"/>
        <w:wordWrap/>
        <w:snapToGrid w:val="0"/>
        <w:spacing w:line="640" w:lineRule="exact"/>
        <w:ind w:right="0"/>
        <w:jc w:val="center"/>
        <w:textAlignment w:val="auto"/>
        <w:rPr>
          <w:rFonts w:hint="eastAsia" w:ascii="方正小标宋简体" w:hAnsi="方正小标宋简体" w:eastAsia="方正小标宋简体"/>
          <w:color w:val="auto"/>
          <w:sz w:val="44"/>
          <w:szCs w:val="44"/>
          <w:lang w:eastAsia="zh-CN"/>
        </w:rPr>
      </w:pPr>
      <w:r>
        <w:rPr>
          <w:rFonts w:ascii="方正小标宋简体" w:hAnsi="方正小标宋简体" w:eastAsia="方正小标宋简体" w:cs="方正小标宋简体"/>
          <w:color w:val="auto"/>
          <w:sz w:val="44"/>
          <w:szCs w:val="44"/>
        </w:rPr>
        <w:t>1-6</w:t>
      </w:r>
      <w:r>
        <w:rPr>
          <w:rFonts w:hint="eastAsia" w:ascii="方正小标宋简体" w:hAnsi="方正小标宋简体" w:eastAsia="方正小标宋简体" w:cs="方正小标宋简体"/>
          <w:color w:val="auto"/>
          <w:sz w:val="44"/>
          <w:szCs w:val="44"/>
        </w:rPr>
        <w:t>月份财政预算执行情况的报告</w:t>
      </w:r>
    </w:p>
    <w:p>
      <w:pPr>
        <w:keepNext w:val="0"/>
        <w:keepLines w:val="0"/>
        <w:pageBreakBefore w:val="0"/>
        <w:widowControl w:val="0"/>
        <w:kinsoku/>
        <w:wordWrap/>
        <w:topLinePunct w:val="0"/>
        <w:autoSpaceDE/>
        <w:bidi w:val="0"/>
        <w:adjustRightInd/>
        <w:spacing w:line="560" w:lineRule="exact"/>
        <w:jc w:val="center"/>
        <w:textAlignment w:val="baseline"/>
        <w:rPr>
          <w:rFonts w:hint="eastAsia" w:ascii="楷体_GB2312" w:hAnsi="楷体_GB2312" w:eastAsia="楷体_GB2312"/>
          <w:color w:val="auto"/>
          <w:sz w:val="32"/>
          <w:szCs w:val="20"/>
        </w:rPr>
      </w:pPr>
      <w:r>
        <w:rPr>
          <w:rFonts w:hint="eastAsia" w:ascii="楷体_GB2312" w:hAnsi="楷体_GB2312" w:eastAsia="楷体_GB2312"/>
          <w:color w:val="auto"/>
          <w:sz w:val="32"/>
          <w:szCs w:val="20"/>
        </w:rPr>
        <w:t>—20</w:t>
      </w:r>
      <w:r>
        <w:rPr>
          <w:rFonts w:hint="eastAsia" w:ascii="楷体_GB2312" w:hAnsi="楷体_GB2312" w:eastAsia="楷体_GB2312"/>
          <w:color w:val="auto"/>
          <w:sz w:val="32"/>
          <w:szCs w:val="20"/>
          <w:lang w:val="en-US" w:eastAsia="zh-CN"/>
        </w:rPr>
        <w:t>22</w:t>
      </w:r>
      <w:r>
        <w:rPr>
          <w:rFonts w:hint="eastAsia" w:ascii="楷体_GB2312" w:hAnsi="楷体_GB2312" w:eastAsia="楷体_GB2312"/>
          <w:color w:val="auto"/>
          <w:sz w:val="32"/>
          <w:szCs w:val="20"/>
        </w:rPr>
        <w:t>年</w:t>
      </w:r>
      <w:r>
        <w:rPr>
          <w:rFonts w:hint="eastAsia" w:ascii="楷体_GB2312" w:hAnsi="楷体_GB2312" w:eastAsia="楷体_GB2312"/>
          <w:color w:val="auto"/>
          <w:sz w:val="32"/>
          <w:szCs w:val="20"/>
          <w:lang w:val="en-US" w:eastAsia="zh-CN"/>
        </w:rPr>
        <w:t>7</w:t>
      </w:r>
      <w:r>
        <w:rPr>
          <w:rFonts w:hint="eastAsia" w:ascii="楷体_GB2312" w:hAnsi="楷体_GB2312" w:eastAsia="楷体_GB2312"/>
          <w:color w:val="auto"/>
          <w:sz w:val="32"/>
          <w:szCs w:val="20"/>
        </w:rPr>
        <w:t>月</w:t>
      </w:r>
      <w:r>
        <w:rPr>
          <w:rFonts w:hint="eastAsia" w:ascii="楷体_GB2312" w:hAnsi="楷体_GB2312" w:eastAsia="楷体_GB2312"/>
          <w:color w:val="auto"/>
          <w:sz w:val="32"/>
          <w:szCs w:val="20"/>
          <w:lang w:val="en-US" w:eastAsia="zh-CN"/>
        </w:rPr>
        <w:t>26</w:t>
      </w:r>
      <w:r>
        <w:rPr>
          <w:rFonts w:hint="eastAsia" w:ascii="楷体_GB2312" w:hAnsi="楷体_GB2312" w:eastAsia="楷体_GB2312"/>
          <w:color w:val="auto"/>
          <w:sz w:val="32"/>
          <w:szCs w:val="20"/>
        </w:rPr>
        <w:t>日在川汇区第十</w:t>
      </w:r>
      <w:r>
        <w:rPr>
          <w:rFonts w:hint="eastAsia" w:ascii="楷体_GB2312" w:hAnsi="楷体_GB2312" w:eastAsia="楷体_GB2312"/>
          <w:color w:val="auto"/>
          <w:sz w:val="32"/>
          <w:szCs w:val="20"/>
          <w:lang w:val="en-US" w:eastAsia="zh-CN"/>
        </w:rPr>
        <w:t>六</w:t>
      </w:r>
      <w:r>
        <w:rPr>
          <w:rFonts w:hint="eastAsia" w:ascii="楷体_GB2312" w:hAnsi="楷体_GB2312" w:eastAsia="楷体_GB2312"/>
          <w:color w:val="auto"/>
          <w:sz w:val="32"/>
          <w:szCs w:val="20"/>
        </w:rPr>
        <w:t>届人大常委会</w:t>
      </w:r>
    </w:p>
    <w:p>
      <w:pPr>
        <w:keepNext w:val="0"/>
        <w:keepLines w:val="0"/>
        <w:pageBreakBefore w:val="0"/>
        <w:widowControl w:val="0"/>
        <w:kinsoku/>
        <w:wordWrap/>
        <w:topLinePunct w:val="0"/>
        <w:autoSpaceDE/>
        <w:bidi w:val="0"/>
        <w:adjustRightInd/>
        <w:spacing w:line="560" w:lineRule="exact"/>
        <w:jc w:val="center"/>
        <w:textAlignment w:val="baseline"/>
        <w:rPr>
          <w:rFonts w:hint="eastAsia" w:ascii="楷体_GB2312" w:hAnsi="楷体_GB2312" w:eastAsia="楷体_GB2312"/>
          <w:color w:val="auto"/>
          <w:sz w:val="32"/>
          <w:szCs w:val="20"/>
        </w:rPr>
      </w:pPr>
      <w:r>
        <w:rPr>
          <w:rFonts w:hint="eastAsia" w:ascii="楷体_GB2312" w:hAnsi="楷体_GB2312" w:eastAsia="楷体_GB2312"/>
          <w:color w:val="auto"/>
          <w:sz w:val="32"/>
          <w:szCs w:val="20"/>
        </w:rPr>
        <w:t>第</w:t>
      </w:r>
      <w:r>
        <w:rPr>
          <w:rFonts w:hint="eastAsia" w:ascii="楷体_GB2312" w:hAnsi="楷体_GB2312" w:eastAsia="楷体_GB2312"/>
          <w:color w:val="auto"/>
          <w:sz w:val="32"/>
          <w:szCs w:val="20"/>
          <w:lang w:val="en-US" w:eastAsia="zh-CN"/>
        </w:rPr>
        <w:t>二</w:t>
      </w:r>
      <w:r>
        <w:rPr>
          <w:rFonts w:hint="eastAsia" w:ascii="楷体_GB2312" w:hAnsi="楷体_GB2312" w:eastAsia="楷体_GB2312"/>
          <w:color w:val="auto"/>
          <w:sz w:val="32"/>
          <w:szCs w:val="20"/>
        </w:rPr>
        <w:t>次会议上</w:t>
      </w:r>
    </w:p>
    <w:p>
      <w:pPr>
        <w:keepNext w:val="0"/>
        <w:keepLines w:val="0"/>
        <w:pageBreakBefore w:val="0"/>
        <w:widowControl w:val="0"/>
        <w:kinsoku/>
        <w:wordWrap/>
        <w:topLinePunct w:val="0"/>
        <w:autoSpaceDE/>
        <w:bidi w:val="0"/>
        <w:adjustRightInd/>
        <w:spacing w:line="560" w:lineRule="exact"/>
        <w:jc w:val="center"/>
        <w:textAlignment w:val="baseline"/>
        <w:rPr>
          <w:rFonts w:hint="eastAsia" w:ascii="楷体_GB2312" w:hAnsi="楷体_GB2312" w:eastAsia="楷体_GB2312"/>
          <w:color w:val="auto"/>
          <w:sz w:val="32"/>
          <w:szCs w:val="20"/>
          <w:lang w:val="en-US" w:eastAsia="zh-CN"/>
        </w:rPr>
      </w:pPr>
      <w:r>
        <w:rPr>
          <w:rFonts w:hint="eastAsia" w:ascii="楷体_GB2312" w:hAnsi="楷体_GB2312" w:eastAsia="楷体_GB2312"/>
          <w:color w:val="auto"/>
          <w:sz w:val="32"/>
          <w:szCs w:val="20"/>
        </w:rPr>
        <w:t>川汇区财政局</w:t>
      </w:r>
      <w:bookmarkStart w:id="0" w:name="_GoBack"/>
      <w:r>
        <w:rPr>
          <w:rFonts w:hint="eastAsia" w:ascii="楷体_GB2312" w:hAnsi="楷体_GB2312" w:eastAsia="楷体_GB2312"/>
          <w:color w:val="auto"/>
          <w:sz w:val="32"/>
          <w:szCs w:val="20"/>
          <w:lang w:val="en-US" w:eastAsia="zh-CN"/>
        </w:rPr>
        <w:t>党组书记</w:t>
      </w:r>
      <w:bookmarkEnd w:id="0"/>
      <w:r>
        <w:rPr>
          <w:rFonts w:hint="eastAsia" w:ascii="楷体_GB2312" w:hAnsi="楷体_GB2312" w:eastAsia="楷体_GB2312"/>
          <w:color w:val="auto"/>
          <w:sz w:val="32"/>
          <w:szCs w:val="20"/>
          <w:lang w:val="en-US" w:eastAsia="zh-CN"/>
        </w:rPr>
        <w:t xml:space="preserve"> </w:t>
      </w:r>
      <w:r>
        <w:rPr>
          <w:rFonts w:hint="eastAsia" w:ascii="楷体_GB2312" w:hAnsi="楷体_GB2312" w:eastAsia="楷体_GB2312"/>
          <w:color w:val="auto"/>
          <w:sz w:val="32"/>
          <w:szCs w:val="20"/>
        </w:rPr>
        <w:t xml:space="preserve">  </w:t>
      </w:r>
      <w:r>
        <w:rPr>
          <w:rFonts w:hint="eastAsia" w:ascii="楷体_GB2312" w:hAnsi="楷体_GB2312" w:eastAsia="楷体_GB2312"/>
          <w:color w:val="auto"/>
          <w:sz w:val="32"/>
          <w:szCs w:val="20"/>
          <w:lang w:eastAsia="zh-CN"/>
        </w:rPr>
        <w:t>王三中</w:t>
      </w:r>
    </w:p>
    <w:p>
      <w:pPr>
        <w:widowControl w:val="0"/>
        <w:tabs>
          <w:tab w:val="left" w:pos="7044"/>
        </w:tabs>
        <w:wordWrap/>
        <w:snapToGrid w:val="0"/>
        <w:spacing w:line="640" w:lineRule="exact"/>
        <w:ind w:right="0"/>
        <w:textAlignment w:val="auto"/>
        <w:rPr>
          <w:rFonts w:ascii="仿宋_GB2312" w:eastAsia="仿宋_GB2312"/>
          <w:color w:val="auto"/>
          <w:sz w:val="32"/>
          <w:szCs w:val="32"/>
        </w:rPr>
      </w:pPr>
      <w:r>
        <w:rPr>
          <w:rFonts w:ascii="仿宋_GB2312" w:eastAsia="仿宋_GB2312"/>
          <w:color w:val="auto"/>
          <w:sz w:val="32"/>
          <w:szCs w:val="32"/>
        </w:rPr>
        <w:tab/>
      </w:r>
    </w:p>
    <w:p>
      <w:pPr>
        <w:keepNext w:val="0"/>
        <w:keepLines w:val="0"/>
        <w:pageBreakBefore w:val="0"/>
        <w:widowControl w:val="0"/>
        <w:kinsoku/>
        <w:wordWrap/>
        <w:overflowPunct/>
        <w:topLinePunct w:val="0"/>
        <w:autoSpaceDE/>
        <w:autoSpaceDN/>
        <w:bidi w:val="0"/>
        <w:adjustRightInd/>
        <w:snapToGrid w:val="0"/>
        <w:spacing w:line="560" w:lineRule="exact"/>
        <w:ind w:left="0" w:leftChars="0" w:right="0"/>
        <w:jc w:val="both"/>
        <w:textAlignment w:val="auto"/>
        <w:rPr>
          <w:rFonts w:hint="eastAsia" w:ascii="仿宋_GB2312" w:eastAsia="仿宋_GB2312" w:cs="仿宋_GB2312"/>
          <w:color w:val="auto"/>
          <w:sz w:val="32"/>
          <w:szCs w:val="32"/>
        </w:rPr>
      </w:pPr>
      <w:r>
        <w:rPr>
          <w:rFonts w:hint="eastAsia" w:ascii="仿宋_GB2312" w:eastAsia="仿宋_GB2312" w:cs="仿宋_GB2312"/>
          <w:color w:val="auto"/>
          <w:sz w:val="32"/>
          <w:szCs w:val="32"/>
        </w:rPr>
        <w:t>主任、各位副主任、各位委员：</w:t>
      </w:r>
    </w:p>
    <w:p>
      <w:pPr>
        <w:keepNext w:val="0"/>
        <w:keepLines w:val="0"/>
        <w:pageBreakBefore w:val="0"/>
        <w:widowControl w:val="0"/>
        <w:kinsoku/>
        <w:wordWrap/>
        <w:overflowPunct/>
        <w:topLinePunct w:val="0"/>
        <w:autoSpaceDE/>
        <w:autoSpaceDN/>
        <w:bidi w:val="0"/>
        <w:adjustRightInd/>
        <w:snapToGrid w:val="0"/>
        <w:spacing w:line="560" w:lineRule="exact"/>
        <w:ind w:left="0" w:leftChars="0" w:right="0"/>
        <w:jc w:val="both"/>
        <w:textAlignment w:val="auto"/>
        <w:rPr>
          <w:color w:val="auto"/>
          <w:sz w:val="32"/>
          <w:szCs w:val="32"/>
        </w:rPr>
      </w:pPr>
      <w:r>
        <w:rPr>
          <w:rFonts w:hint="eastAsia" w:ascii="仿宋_GB2312" w:eastAsia="仿宋_GB2312" w:cs="仿宋_GB2312"/>
          <w:color w:val="auto"/>
          <w:sz w:val="32"/>
          <w:szCs w:val="32"/>
          <w:lang w:val="en-US" w:eastAsia="zh-CN"/>
        </w:rPr>
        <w:t xml:space="preserve">    我受区人民政府委托，向区人大常委会报告2021年财政决算和2022年1-6月份财政预算执行情况，请予审议。</w:t>
      </w:r>
    </w:p>
    <w:p>
      <w:pPr>
        <w:keepNext w:val="0"/>
        <w:keepLines w:val="0"/>
        <w:pageBreakBefore w:val="0"/>
        <w:widowControl w:val="0"/>
        <w:kinsoku/>
        <w:wordWrap/>
        <w:overflowPunct/>
        <w:topLinePunct w:val="0"/>
        <w:autoSpaceDE/>
        <w:autoSpaceDN/>
        <w:bidi w:val="0"/>
        <w:adjustRightInd/>
        <w:snapToGrid w:val="0"/>
        <w:spacing w:line="560" w:lineRule="exact"/>
        <w:ind w:left="0" w:leftChars="0" w:right="0" w:firstLine="640" w:firstLineChars="200"/>
        <w:jc w:val="both"/>
        <w:textAlignment w:val="auto"/>
        <w:rPr>
          <w:rFonts w:hint="eastAsia" w:ascii="黑体" w:eastAsia="黑体" w:cs="黑体"/>
          <w:color w:val="auto"/>
          <w:sz w:val="32"/>
          <w:szCs w:val="32"/>
        </w:rPr>
      </w:pPr>
      <w:r>
        <w:rPr>
          <w:rFonts w:hint="eastAsia" w:ascii="黑体" w:eastAsia="黑体" w:cs="黑体"/>
          <w:color w:val="auto"/>
          <w:sz w:val="32"/>
          <w:szCs w:val="32"/>
        </w:rPr>
        <w:t>一、</w:t>
      </w:r>
      <w:r>
        <w:rPr>
          <w:rFonts w:ascii="黑体" w:eastAsia="黑体" w:cs="黑体"/>
          <w:color w:val="auto"/>
          <w:sz w:val="32"/>
          <w:szCs w:val="32"/>
        </w:rPr>
        <w:t>20</w:t>
      </w:r>
      <w:r>
        <w:rPr>
          <w:rFonts w:hint="eastAsia" w:ascii="黑体" w:eastAsia="黑体" w:cs="黑体"/>
          <w:color w:val="auto"/>
          <w:sz w:val="32"/>
          <w:szCs w:val="32"/>
          <w:lang w:val="en-US" w:eastAsia="zh-CN"/>
        </w:rPr>
        <w:t>21</w:t>
      </w:r>
      <w:r>
        <w:rPr>
          <w:rFonts w:hint="eastAsia" w:ascii="黑体" w:eastAsia="黑体" w:cs="黑体"/>
          <w:color w:val="auto"/>
          <w:sz w:val="32"/>
          <w:szCs w:val="32"/>
        </w:rPr>
        <w:t>年财政决算情况</w:t>
      </w:r>
    </w:p>
    <w:p>
      <w:pPr>
        <w:keepNext w:val="0"/>
        <w:keepLines w:val="0"/>
        <w:pageBreakBefore w:val="0"/>
        <w:widowControl w:val="0"/>
        <w:kinsoku/>
        <w:wordWrap/>
        <w:overflowPunct/>
        <w:topLinePunct w:val="0"/>
        <w:autoSpaceDE/>
        <w:autoSpaceDN/>
        <w:bidi w:val="0"/>
        <w:adjustRightInd/>
        <w:snapToGrid w:val="0"/>
        <w:spacing w:line="560" w:lineRule="exact"/>
        <w:ind w:left="0" w:leftChars="0" w:right="0" w:firstLine="470" w:firstLineChars="147"/>
        <w:jc w:val="both"/>
        <w:textAlignment w:val="auto"/>
        <w:rPr>
          <w:b w:val="0"/>
          <w:bCs w:val="0"/>
          <w:color w:val="auto"/>
          <w:sz w:val="32"/>
          <w:szCs w:val="32"/>
        </w:rPr>
      </w:pPr>
      <w:r>
        <w:rPr>
          <w:rFonts w:hint="eastAsia" w:ascii="楷体_GB2312" w:eastAsia="楷体_GB2312" w:cs="楷体_GB2312"/>
          <w:b w:val="0"/>
          <w:bCs w:val="0"/>
          <w:color w:val="auto"/>
          <w:sz w:val="32"/>
          <w:szCs w:val="32"/>
        </w:rPr>
        <w:t>（一）一般公共预算收支决算</w:t>
      </w:r>
    </w:p>
    <w:p>
      <w:pPr>
        <w:keepNext w:val="0"/>
        <w:keepLines w:val="0"/>
        <w:pageBreakBefore w:val="0"/>
        <w:widowControl w:val="0"/>
        <w:kinsoku/>
        <w:wordWrap/>
        <w:overflowPunct/>
        <w:topLinePunct w:val="0"/>
        <w:autoSpaceDE/>
        <w:autoSpaceDN/>
        <w:bidi w:val="0"/>
        <w:adjustRightInd/>
        <w:snapToGrid w:val="0"/>
        <w:spacing w:line="560" w:lineRule="exact"/>
        <w:ind w:left="0" w:leftChars="0" w:right="0" w:firstLine="640" w:firstLineChars="200"/>
        <w:jc w:val="both"/>
        <w:textAlignment w:val="auto"/>
        <w:outlineLvl w:val="9"/>
        <w:rPr>
          <w:rFonts w:hint="eastAsia" w:ascii="仿宋_GB2312" w:eastAsia="仿宋_GB2312" w:cs="仿宋_GB2312"/>
          <w:color w:val="auto"/>
          <w:sz w:val="32"/>
          <w:szCs w:val="32"/>
        </w:rPr>
      </w:pPr>
      <w:r>
        <w:rPr>
          <w:rFonts w:hint="eastAsia" w:ascii="仿宋_GB2312" w:eastAsia="仿宋_GB2312" w:cs="仿宋_GB2312"/>
          <w:color w:val="auto"/>
          <w:sz w:val="32"/>
          <w:szCs w:val="32"/>
        </w:rPr>
        <w:t>区级一般公共预算收入</w:t>
      </w:r>
      <w:r>
        <w:rPr>
          <w:rFonts w:hint="eastAsia" w:ascii="仿宋_GB2312" w:eastAsia="仿宋_GB2312" w:cs="仿宋_GB2312"/>
          <w:color w:val="auto"/>
          <w:sz w:val="32"/>
          <w:szCs w:val="32"/>
          <w:lang w:val="en-US" w:eastAsia="zh-CN"/>
        </w:rPr>
        <w:t>70388万</w:t>
      </w:r>
      <w:r>
        <w:rPr>
          <w:rFonts w:hint="eastAsia" w:ascii="仿宋_GB2312" w:eastAsia="仿宋_GB2312" w:cs="仿宋_GB2312"/>
          <w:color w:val="auto"/>
          <w:sz w:val="32"/>
          <w:szCs w:val="32"/>
        </w:rPr>
        <w:t>元，为预算的</w:t>
      </w:r>
      <w:r>
        <w:rPr>
          <w:rFonts w:hint="eastAsia" w:ascii="仿宋_GB2312" w:eastAsia="仿宋_GB2312" w:cs="仿宋_GB2312"/>
          <w:color w:val="auto"/>
          <w:sz w:val="32"/>
          <w:szCs w:val="32"/>
          <w:lang w:val="en-US" w:eastAsia="zh-CN"/>
        </w:rPr>
        <w:t>100.3</w:t>
      </w:r>
      <w:r>
        <w:rPr>
          <w:rFonts w:hint="eastAsia" w:ascii="仿宋_GB2312" w:eastAsia="仿宋_GB2312" w:cs="仿宋_GB2312"/>
          <w:color w:val="auto"/>
          <w:sz w:val="32"/>
          <w:szCs w:val="32"/>
        </w:rPr>
        <w:t>%，同比增长</w:t>
      </w:r>
      <w:r>
        <w:rPr>
          <w:rFonts w:hint="eastAsia" w:ascii="仿宋_GB2312" w:eastAsia="仿宋_GB2312" w:cs="仿宋_GB2312"/>
          <w:color w:val="auto"/>
          <w:sz w:val="32"/>
          <w:szCs w:val="32"/>
          <w:lang w:val="en-US" w:eastAsia="zh-CN"/>
        </w:rPr>
        <w:t>6.8</w:t>
      </w:r>
      <w:r>
        <w:rPr>
          <w:rFonts w:hint="eastAsia" w:ascii="仿宋_GB2312" w:eastAsia="仿宋_GB2312" w:cs="仿宋_GB2312"/>
          <w:color w:val="auto"/>
          <w:sz w:val="32"/>
          <w:szCs w:val="32"/>
        </w:rPr>
        <w:t>%，增收</w:t>
      </w:r>
      <w:r>
        <w:rPr>
          <w:rFonts w:hint="eastAsia" w:ascii="仿宋_GB2312" w:eastAsia="仿宋_GB2312" w:cs="仿宋_GB2312"/>
          <w:color w:val="auto"/>
          <w:sz w:val="32"/>
          <w:szCs w:val="32"/>
          <w:lang w:val="en-US" w:eastAsia="zh-CN"/>
        </w:rPr>
        <w:t>4465</w:t>
      </w:r>
      <w:r>
        <w:rPr>
          <w:rFonts w:hint="eastAsia" w:ascii="仿宋_GB2312" w:eastAsia="仿宋_GB2312" w:cs="仿宋_GB2312"/>
          <w:color w:val="auto"/>
          <w:sz w:val="32"/>
          <w:szCs w:val="32"/>
        </w:rPr>
        <w:t>万元；上级补助</w:t>
      </w:r>
      <w:r>
        <w:rPr>
          <w:rFonts w:hint="eastAsia" w:ascii="仿宋_GB2312" w:eastAsia="仿宋_GB2312" w:cs="仿宋_GB2312"/>
          <w:color w:val="auto"/>
          <w:sz w:val="32"/>
          <w:szCs w:val="32"/>
          <w:lang w:val="en-US" w:eastAsia="zh-CN"/>
        </w:rPr>
        <w:t>收入145621万</w:t>
      </w:r>
      <w:r>
        <w:rPr>
          <w:rFonts w:hint="eastAsia" w:ascii="仿宋_GB2312" w:eastAsia="仿宋_GB2312" w:cs="仿宋_GB2312"/>
          <w:color w:val="auto"/>
          <w:sz w:val="32"/>
          <w:szCs w:val="32"/>
        </w:rPr>
        <w:t>元</w:t>
      </w:r>
      <w:r>
        <w:rPr>
          <w:rFonts w:hint="eastAsia" w:ascii="仿宋_GB2312" w:eastAsia="仿宋_GB2312" w:cs="仿宋_GB2312"/>
          <w:color w:val="auto"/>
          <w:sz w:val="32"/>
          <w:szCs w:val="32"/>
          <w:lang w:eastAsia="zh-CN"/>
        </w:rPr>
        <w:t>（</w:t>
      </w:r>
      <w:r>
        <w:rPr>
          <w:rFonts w:hint="eastAsia" w:ascii="仿宋_GB2312" w:eastAsia="仿宋_GB2312" w:cs="仿宋_GB2312"/>
          <w:color w:val="auto"/>
          <w:sz w:val="32"/>
          <w:szCs w:val="32"/>
          <w:lang w:val="en-US" w:eastAsia="zh-CN"/>
        </w:rPr>
        <w:t>包括：返还性收入8110万元，一般性转移支付收入110599万元，专项转移支付收入26912万元</w:t>
      </w:r>
      <w:r>
        <w:rPr>
          <w:rFonts w:hint="eastAsia" w:ascii="仿宋_GB2312" w:eastAsia="仿宋_GB2312" w:cs="仿宋_GB2312"/>
          <w:color w:val="auto"/>
          <w:sz w:val="32"/>
          <w:szCs w:val="32"/>
          <w:lang w:eastAsia="zh-CN"/>
        </w:rPr>
        <w:t>）；</w:t>
      </w:r>
      <w:r>
        <w:rPr>
          <w:rFonts w:hint="eastAsia" w:ascii="仿宋_GB2312" w:eastAsia="仿宋_GB2312" w:cs="仿宋_GB2312"/>
          <w:color w:val="auto"/>
          <w:sz w:val="32"/>
          <w:szCs w:val="32"/>
        </w:rPr>
        <w:t>调入资金</w:t>
      </w:r>
      <w:r>
        <w:rPr>
          <w:rFonts w:hint="eastAsia" w:ascii="仿宋_GB2312" w:eastAsia="仿宋_GB2312" w:cs="仿宋_GB2312"/>
          <w:color w:val="auto"/>
          <w:sz w:val="32"/>
          <w:szCs w:val="32"/>
          <w:lang w:val="en-US" w:eastAsia="zh-CN"/>
        </w:rPr>
        <w:t>9370</w:t>
      </w:r>
      <w:r>
        <w:rPr>
          <w:rFonts w:hint="eastAsia" w:ascii="仿宋_GB2312" w:eastAsia="仿宋_GB2312" w:cs="仿宋_GB2312"/>
          <w:color w:val="auto"/>
          <w:sz w:val="32"/>
          <w:szCs w:val="32"/>
        </w:rPr>
        <w:t>万元；</w:t>
      </w:r>
      <w:r>
        <w:rPr>
          <w:rFonts w:hint="eastAsia" w:ascii="仿宋_GB2312" w:eastAsia="仿宋_GB2312" w:cs="仿宋_GB2312"/>
          <w:color w:val="auto"/>
          <w:sz w:val="32"/>
          <w:szCs w:val="32"/>
          <w:lang w:eastAsia="zh-CN"/>
        </w:rPr>
        <w:t>债务转贷收入</w:t>
      </w:r>
      <w:r>
        <w:rPr>
          <w:rFonts w:hint="eastAsia" w:ascii="仿宋_GB2312" w:eastAsia="仿宋_GB2312" w:cs="仿宋_GB2312"/>
          <w:color w:val="auto"/>
          <w:sz w:val="32"/>
          <w:szCs w:val="32"/>
          <w:lang w:val="en-US" w:eastAsia="zh-CN"/>
        </w:rPr>
        <w:t>12300万元；动用预算稳定调节基金30600万元，</w:t>
      </w:r>
      <w:r>
        <w:rPr>
          <w:rFonts w:hint="eastAsia" w:ascii="仿宋_GB2312" w:eastAsia="仿宋_GB2312" w:cs="仿宋_GB2312"/>
          <w:color w:val="auto"/>
          <w:sz w:val="32"/>
          <w:szCs w:val="32"/>
        </w:rPr>
        <w:t>上年结余</w:t>
      </w:r>
      <w:r>
        <w:rPr>
          <w:rFonts w:hint="eastAsia" w:ascii="仿宋_GB2312" w:eastAsia="仿宋_GB2312" w:cs="仿宋_GB2312"/>
          <w:color w:val="auto"/>
          <w:sz w:val="32"/>
          <w:szCs w:val="32"/>
          <w:lang w:val="en-US" w:eastAsia="zh-CN"/>
        </w:rPr>
        <w:t>27206万</w:t>
      </w:r>
      <w:r>
        <w:rPr>
          <w:rFonts w:hint="eastAsia" w:ascii="仿宋_GB2312" w:eastAsia="仿宋_GB2312" w:cs="仿宋_GB2312"/>
          <w:color w:val="auto"/>
          <w:sz w:val="32"/>
          <w:szCs w:val="32"/>
        </w:rPr>
        <w:t>元</w:t>
      </w:r>
      <w:r>
        <w:rPr>
          <w:rFonts w:hint="eastAsia" w:ascii="仿宋_GB2312" w:eastAsia="仿宋_GB2312" w:cs="仿宋_GB2312"/>
          <w:color w:val="auto"/>
          <w:sz w:val="32"/>
          <w:szCs w:val="32"/>
          <w:lang w:eastAsia="zh-CN"/>
        </w:rPr>
        <w:t>，</w:t>
      </w:r>
      <w:r>
        <w:rPr>
          <w:rFonts w:hint="eastAsia" w:ascii="仿宋_GB2312" w:eastAsia="仿宋_GB2312" w:cs="仿宋_GB2312"/>
          <w:color w:val="auto"/>
          <w:sz w:val="32"/>
          <w:szCs w:val="32"/>
          <w:lang w:val="en-US" w:eastAsia="zh-CN"/>
        </w:rPr>
        <w:t>全年地方财政</w:t>
      </w:r>
      <w:r>
        <w:rPr>
          <w:rFonts w:hint="eastAsia" w:ascii="仿宋_GB2312" w:eastAsia="仿宋_GB2312" w:cs="仿宋_GB2312"/>
          <w:color w:val="auto"/>
          <w:sz w:val="32"/>
          <w:szCs w:val="32"/>
        </w:rPr>
        <w:t>收入</w:t>
      </w:r>
      <w:r>
        <w:rPr>
          <w:rFonts w:hint="eastAsia" w:ascii="仿宋_GB2312" w:eastAsia="仿宋_GB2312" w:cs="仿宋_GB2312"/>
          <w:color w:val="auto"/>
          <w:sz w:val="32"/>
          <w:szCs w:val="32"/>
          <w:lang w:eastAsia="zh-CN"/>
        </w:rPr>
        <w:t>合计</w:t>
      </w:r>
      <w:r>
        <w:rPr>
          <w:rFonts w:hint="eastAsia" w:ascii="仿宋_GB2312" w:eastAsia="仿宋_GB2312" w:cs="仿宋_GB2312"/>
          <w:color w:val="auto"/>
          <w:sz w:val="32"/>
          <w:szCs w:val="32"/>
          <w:lang w:val="en-US" w:eastAsia="zh-CN"/>
        </w:rPr>
        <w:t>295485万</w:t>
      </w:r>
      <w:r>
        <w:rPr>
          <w:rFonts w:hint="eastAsia" w:ascii="仿宋_GB2312" w:eastAsia="仿宋_GB2312" w:cs="仿宋_GB2312"/>
          <w:color w:val="auto"/>
          <w:sz w:val="32"/>
          <w:szCs w:val="32"/>
        </w:rPr>
        <w:t>元</w:t>
      </w:r>
      <w:r>
        <w:rPr>
          <w:rFonts w:hint="eastAsia" w:ascii="仿宋_GB2312" w:eastAsia="仿宋_GB2312" w:cs="仿宋_GB2312"/>
          <w:color w:val="auto"/>
          <w:sz w:val="32"/>
          <w:szCs w:val="32"/>
          <w:lang w:val="en-US" w:eastAsia="zh-CN"/>
        </w:rPr>
        <w:t>。</w:t>
      </w:r>
    </w:p>
    <w:p>
      <w:pPr>
        <w:keepNext w:val="0"/>
        <w:keepLines w:val="0"/>
        <w:pageBreakBefore w:val="0"/>
        <w:widowControl w:val="0"/>
        <w:kinsoku/>
        <w:wordWrap/>
        <w:overflowPunct/>
        <w:topLinePunct w:val="0"/>
        <w:autoSpaceDE/>
        <w:autoSpaceDN/>
        <w:bidi w:val="0"/>
        <w:adjustRightInd/>
        <w:snapToGrid w:val="0"/>
        <w:spacing w:line="560" w:lineRule="exact"/>
        <w:ind w:left="0" w:leftChars="0" w:right="0" w:firstLine="640" w:firstLineChars="200"/>
        <w:jc w:val="both"/>
        <w:textAlignment w:val="auto"/>
        <w:outlineLvl w:val="9"/>
        <w:rPr>
          <w:rFonts w:hint="eastAsia" w:ascii="仿宋_GB2312" w:eastAsia="仿宋_GB2312" w:cs="仿宋_GB2312"/>
          <w:color w:val="auto"/>
          <w:sz w:val="32"/>
          <w:szCs w:val="32"/>
          <w:lang w:val="en-US" w:eastAsia="zh-CN"/>
        </w:rPr>
      </w:pPr>
      <w:r>
        <w:rPr>
          <w:rFonts w:hint="eastAsia" w:ascii="仿宋_GB2312" w:eastAsia="仿宋_GB2312" w:cs="仿宋_GB2312"/>
          <w:color w:val="auto"/>
          <w:sz w:val="32"/>
          <w:szCs w:val="32"/>
          <w:lang w:val="en-US" w:eastAsia="zh-CN"/>
        </w:rPr>
        <w:t>区级一般公共预算支出229410万元，</w:t>
      </w:r>
      <w:r>
        <w:rPr>
          <w:rFonts w:hint="eastAsia" w:ascii="仿宋_GB2312" w:eastAsia="仿宋_GB2312" w:cs="仿宋_GB2312"/>
          <w:color w:val="auto"/>
          <w:sz w:val="32"/>
          <w:szCs w:val="32"/>
        </w:rPr>
        <w:t>为</w:t>
      </w:r>
      <w:r>
        <w:rPr>
          <w:rFonts w:hint="eastAsia" w:ascii="仿宋_GB2312" w:eastAsia="仿宋_GB2312" w:cs="仿宋_GB2312"/>
          <w:color w:val="auto"/>
          <w:sz w:val="32"/>
          <w:szCs w:val="32"/>
          <w:lang w:val="en-US" w:eastAsia="zh-CN"/>
        </w:rPr>
        <w:t>调整</w:t>
      </w:r>
      <w:r>
        <w:rPr>
          <w:rFonts w:hint="eastAsia" w:ascii="仿宋_GB2312" w:eastAsia="仿宋_GB2312" w:cs="仿宋_GB2312"/>
          <w:color w:val="auto"/>
          <w:sz w:val="32"/>
          <w:szCs w:val="32"/>
        </w:rPr>
        <w:t>预算的</w:t>
      </w:r>
      <w:r>
        <w:rPr>
          <w:rFonts w:hint="eastAsia" w:ascii="仿宋_GB2312" w:eastAsia="仿宋_GB2312" w:cs="仿宋_GB2312"/>
          <w:color w:val="auto"/>
          <w:sz w:val="32"/>
          <w:szCs w:val="32"/>
          <w:lang w:val="en-US" w:eastAsia="zh-CN"/>
        </w:rPr>
        <w:t>85.9</w:t>
      </w:r>
      <w:r>
        <w:rPr>
          <w:rFonts w:hint="eastAsia" w:ascii="仿宋_GB2312" w:eastAsia="仿宋_GB2312" w:cs="仿宋_GB2312"/>
          <w:color w:val="auto"/>
          <w:sz w:val="32"/>
          <w:szCs w:val="32"/>
        </w:rPr>
        <w:t>%，同比</w:t>
      </w:r>
      <w:r>
        <w:rPr>
          <w:rFonts w:hint="eastAsia" w:ascii="仿宋_GB2312" w:eastAsia="仿宋_GB2312" w:cs="仿宋_GB2312"/>
          <w:color w:val="auto"/>
          <w:sz w:val="32"/>
          <w:szCs w:val="32"/>
          <w:lang w:eastAsia="zh-CN"/>
        </w:rPr>
        <w:t>下降</w:t>
      </w:r>
      <w:r>
        <w:rPr>
          <w:rFonts w:hint="eastAsia" w:ascii="仿宋_GB2312" w:eastAsia="仿宋_GB2312" w:cs="仿宋_GB2312"/>
          <w:color w:val="auto"/>
          <w:sz w:val="32"/>
          <w:szCs w:val="32"/>
          <w:lang w:val="en-US" w:eastAsia="zh-CN"/>
        </w:rPr>
        <w:t>4.6</w:t>
      </w:r>
      <w:r>
        <w:rPr>
          <w:rFonts w:hint="eastAsia" w:ascii="仿宋_GB2312" w:eastAsia="仿宋_GB2312" w:cs="仿宋_GB2312"/>
          <w:color w:val="auto"/>
          <w:sz w:val="32"/>
          <w:szCs w:val="32"/>
        </w:rPr>
        <w:t>%，</w:t>
      </w:r>
      <w:r>
        <w:rPr>
          <w:rFonts w:hint="eastAsia" w:ascii="仿宋_GB2312" w:eastAsia="仿宋_GB2312" w:cs="仿宋_GB2312"/>
          <w:color w:val="auto"/>
          <w:sz w:val="32"/>
          <w:szCs w:val="32"/>
          <w:lang w:eastAsia="zh-CN"/>
        </w:rPr>
        <w:t>减</w:t>
      </w:r>
      <w:r>
        <w:rPr>
          <w:rFonts w:hint="eastAsia" w:ascii="仿宋_GB2312" w:eastAsia="仿宋_GB2312" w:cs="仿宋_GB2312"/>
          <w:color w:val="auto"/>
          <w:sz w:val="32"/>
          <w:szCs w:val="32"/>
        </w:rPr>
        <w:t>支</w:t>
      </w:r>
      <w:r>
        <w:rPr>
          <w:rFonts w:hint="eastAsia" w:ascii="仿宋_GB2312" w:eastAsia="仿宋_GB2312" w:cs="仿宋_GB2312"/>
          <w:color w:val="auto"/>
          <w:sz w:val="32"/>
          <w:szCs w:val="32"/>
          <w:lang w:val="en-US" w:eastAsia="zh-CN"/>
        </w:rPr>
        <w:t>11112万</w:t>
      </w:r>
      <w:r>
        <w:rPr>
          <w:rFonts w:hint="eastAsia" w:ascii="仿宋_GB2312" w:eastAsia="仿宋_GB2312" w:cs="仿宋_GB2312"/>
          <w:color w:val="auto"/>
          <w:sz w:val="32"/>
          <w:szCs w:val="32"/>
        </w:rPr>
        <w:t>元；上解上级支出</w:t>
      </w:r>
      <w:r>
        <w:rPr>
          <w:rFonts w:hint="eastAsia" w:ascii="仿宋_GB2312" w:eastAsia="仿宋_GB2312" w:cs="仿宋_GB2312"/>
          <w:color w:val="auto"/>
          <w:sz w:val="32"/>
          <w:szCs w:val="32"/>
          <w:lang w:val="en-US" w:eastAsia="zh-CN"/>
        </w:rPr>
        <w:t>23170万</w:t>
      </w:r>
      <w:r>
        <w:rPr>
          <w:rFonts w:hint="eastAsia" w:ascii="仿宋_GB2312" w:eastAsia="仿宋_GB2312" w:cs="仿宋_GB2312"/>
          <w:color w:val="auto"/>
          <w:sz w:val="32"/>
          <w:szCs w:val="32"/>
        </w:rPr>
        <w:t>元；</w:t>
      </w:r>
      <w:r>
        <w:rPr>
          <w:rFonts w:hint="eastAsia" w:ascii="仿宋_GB2312" w:eastAsia="仿宋_GB2312" w:cs="仿宋_GB2312"/>
          <w:color w:val="auto"/>
          <w:sz w:val="32"/>
          <w:szCs w:val="32"/>
          <w:lang w:val="en-US" w:eastAsia="zh-CN"/>
        </w:rPr>
        <w:t>债务还本支出3769万元；安排预算稳定调节基金1583万元；全年</w:t>
      </w:r>
      <w:r>
        <w:rPr>
          <w:rFonts w:hint="eastAsia" w:ascii="仿宋_GB2312" w:eastAsia="仿宋_GB2312" w:cs="仿宋_GB2312"/>
          <w:color w:val="auto"/>
          <w:sz w:val="32"/>
          <w:szCs w:val="32"/>
        </w:rPr>
        <w:t>一般公共预算支出</w:t>
      </w:r>
      <w:r>
        <w:rPr>
          <w:rFonts w:hint="eastAsia" w:ascii="仿宋_GB2312" w:eastAsia="仿宋_GB2312" w:cs="仿宋_GB2312"/>
          <w:color w:val="auto"/>
          <w:sz w:val="32"/>
          <w:szCs w:val="32"/>
          <w:lang w:eastAsia="zh-CN"/>
        </w:rPr>
        <w:t>合计</w:t>
      </w:r>
      <w:r>
        <w:rPr>
          <w:rFonts w:hint="eastAsia" w:ascii="仿宋_GB2312" w:eastAsia="仿宋_GB2312" w:cs="仿宋_GB2312"/>
          <w:color w:val="auto"/>
          <w:sz w:val="32"/>
          <w:szCs w:val="32"/>
          <w:lang w:val="en-US" w:eastAsia="zh-CN"/>
        </w:rPr>
        <w:t>257932万</w:t>
      </w:r>
      <w:r>
        <w:rPr>
          <w:rFonts w:hint="eastAsia" w:ascii="仿宋_GB2312" w:eastAsia="仿宋_GB2312" w:cs="仿宋_GB2312"/>
          <w:color w:val="auto"/>
          <w:sz w:val="32"/>
          <w:szCs w:val="32"/>
        </w:rPr>
        <w:t>元</w:t>
      </w:r>
      <w:r>
        <w:rPr>
          <w:rFonts w:hint="eastAsia" w:ascii="仿宋_GB2312" w:eastAsia="仿宋_GB2312" w:cs="仿宋_GB2312"/>
          <w:color w:val="auto"/>
          <w:sz w:val="32"/>
          <w:szCs w:val="32"/>
          <w:lang w:val="en-US" w:eastAsia="zh-CN"/>
        </w:rPr>
        <w:t>。</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收支相抵，</w:t>
      </w:r>
      <w:r>
        <w:rPr>
          <w:rFonts w:hint="eastAsia" w:ascii="仿宋_GB2312" w:eastAsia="仿宋_GB2312" w:cs="仿宋_GB2312"/>
          <w:color w:val="auto"/>
          <w:sz w:val="32"/>
          <w:szCs w:val="32"/>
        </w:rPr>
        <w:t>年终结余</w:t>
      </w:r>
      <w:r>
        <w:rPr>
          <w:rFonts w:hint="eastAsia" w:ascii="仿宋_GB2312" w:eastAsia="仿宋_GB2312" w:cs="仿宋_GB2312"/>
          <w:color w:val="auto"/>
          <w:sz w:val="32"/>
          <w:szCs w:val="32"/>
          <w:lang w:val="en-US" w:eastAsia="zh-CN"/>
        </w:rPr>
        <w:t>37553</w:t>
      </w:r>
      <w:r>
        <w:rPr>
          <w:rFonts w:hint="eastAsia" w:ascii="仿宋_GB2312" w:eastAsia="仿宋_GB2312" w:cs="仿宋_GB2312"/>
          <w:color w:val="auto"/>
          <w:sz w:val="32"/>
          <w:szCs w:val="32"/>
        </w:rPr>
        <w:t>万元</w:t>
      </w:r>
      <w:r>
        <w:rPr>
          <w:rFonts w:hint="eastAsia" w:ascii="仿宋_GB2312" w:eastAsia="仿宋_GB2312" w:cs="仿宋_GB2312"/>
          <w:color w:val="auto"/>
          <w:sz w:val="32"/>
          <w:szCs w:val="32"/>
          <w:lang w:eastAsia="zh-CN"/>
        </w:rPr>
        <w:t>，按规定结转下年使用</w:t>
      </w:r>
      <w:r>
        <w:rPr>
          <w:rFonts w:hint="eastAsia" w:ascii="仿宋_GB2312" w:hAnsi="仿宋_GB2312" w:eastAsia="仿宋_GB2312" w:cs="仿宋_GB2312"/>
          <w:color w:val="auto"/>
          <w:sz w:val="32"/>
          <w:szCs w:val="32"/>
        </w:rPr>
        <w:t>。</w:t>
      </w:r>
    </w:p>
    <w:p>
      <w:pPr>
        <w:keepNext w:val="0"/>
        <w:keepLines w:val="0"/>
        <w:pageBreakBefore w:val="0"/>
        <w:widowControl w:val="0"/>
        <w:kinsoku/>
        <w:wordWrap/>
        <w:overflowPunct/>
        <w:topLinePunct w:val="0"/>
        <w:autoSpaceDE/>
        <w:autoSpaceDN/>
        <w:bidi w:val="0"/>
        <w:adjustRightInd/>
        <w:snapToGrid w:val="0"/>
        <w:spacing w:line="560" w:lineRule="exact"/>
        <w:ind w:left="0" w:leftChars="0" w:right="0" w:firstLine="640" w:firstLineChars="200"/>
        <w:jc w:val="both"/>
        <w:textAlignment w:val="auto"/>
        <w:outlineLvl w:val="9"/>
        <w:rPr>
          <w:rFonts w:hint="eastAsia" w:ascii="仿宋_GB2312" w:eastAsia="仿宋_GB2312" w:cs="仿宋_GB2312"/>
          <w:color w:val="auto"/>
          <w:sz w:val="32"/>
          <w:szCs w:val="32"/>
        </w:rPr>
      </w:pPr>
      <w:r>
        <w:rPr>
          <w:rFonts w:hint="eastAsia" w:ascii="仿宋_GB2312" w:eastAsia="仿宋_GB2312" w:cs="仿宋_GB2312"/>
          <w:color w:val="auto"/>
          <w:sz w:val="32"/>
          <w:szCs w:val="32"/>
        </w:rPr>
        <w:t>主要支出情况：</w:t>
      </w:r>
    </w:p>
    <w:p>
      <w:pPr>
        <w:keepNext w:val="0"/>
        <w:keepLines w:val="0"/>
        <w:pageBreakBefore w:val="0"/>
        <w:widowControl w:val="0"/>
        <w:kinsoku/>
        <w:wordWrap/>
        <w:overflowPunct/>
        <w:topLinePunct w:val="0"/>
        <w:autoSpaceDE/>
        <w:autoSpaceDN/>
        <w:bidi w:val="0"/>
        <w:adjustRightInd/>
        <w:snapToGrid w:val="0"/>
        <w:spacing w:line="560" w:lineRule="exact"/>
        <w:ind w:left="0" w:leftChars="0" w:right="0" w:firstLine="640" w:firstLineChars="200"/>
        <w:jc w:val="both"/>
        <w:textAlignment w:val="auto"/>
        <w:outlineLvl w:val="9"/>
        <w:rPr>
          <w:rFonts w:hint="eastAsia" w:ascii="仿宋_GB2312" w:eastAsia="仿宋_GB2312" w:cs="仿宋_GB2312"/>
          <w:color w:val="auto"/>
          <w:sz w:val="32"/>
          <w:szCs w:val="32"/>
        </w:rPr>
      </w:pPr>
      <w:r>
        <w:rPr>
          <w:rFonts w:hint="eastAsia" w:ascii="仿宋_GB2312" w:eastAsia="仿宋_GB2312" w:cs="仿宋_GB2312"/>
          <w:color w:val="auto"/>
          <w:sz w:val="32"/>
          <w:szCs w:val="32"/>
        </w:rPr>
        <w:t>●一般公共服务支出</w:t>
      </w:r>
      <w:r>
        <w:rPr>
          <w:rFonts w:hint="eastAsia" w:ascii="仿宋_GB2312" w:eastAsia="仿宋_GB2312" w:cs="仿宋_GB2312"/>
          <w:color w:val="auto"/>
          <w:sz w:val="32"/>
          <w:szCs w:val="32"/>
          <w:lang w:val="en-US" w:eastAsia="zh-CN"/>
        </w:rPr>
        <w:t>60511万</w:t>
      </w:r>
      <w:r>
        <w:rPr>
          <w:rFonts w:hint="eastAsia" w:ascii="仿宋_GB2312" w:eastAsia="仿宋_GB2312" w:cs="仿宋_GB2312"/>
          <w:color w:val="auto"/>
          <w:sz w:val="32"/>
          <w:szCs w:val="32"/>
        </w:rPr>
        <w:t>元，完成调整预算的</w:t>
      </w:r>
      <w:r>
        <w:rPr>
          <w:rFonts w:hint="eastAsia" w:ascii="仿宋_GB2312" w:eastAsia="仿宋_GB2312" w:cs="仿宋_GB2312"/>
          <w:color w:val="auto"/>
          <w:sz w:val="32"/>
          <w:szCs w:val="32"/>
          <w:lang w:val="en-US" w:eastAsia="zh-CN"/>
        </w:rPr>
        <w:t>73.8</w:t>
      </w:r>
      <w:r>
        <w:rPr>
          <w:rFonts w:hint="eastAsia" w:ascii="仿宋_GB2312" w:eastAsia="仿宋_GB2312" w:cs="仿宋_GB2312"/>
          <w:color w:val="auto"/>
          <w:sz w:val="32"/>
          <w:szCs w:val="32"/>
        </w:rPr>
        <w:t>%；</w:t>
      </w:r>
    </w:p>
    <w:p>
      <w:pPr>
        <w:keepNext w:val="0"/>
        <w:keepLines w:val="0"/>
        <w:pageBreakBefore w:val="0"/>
        <w:widowControl w:val="0"/>
        <w:kinsoku/>
        <w:wordWrap/>
        <w:overflowPunct/>
        <w:topLinePunct w:val="0"/>
        <w:autoSpaceDE/>
        <w:autoSpaceDN/>
        <w:bidi w:val="0"/>
        <w:adjustRightInd/>
        <w:snapToGrid w:val="0"/>
        <w:spacing w:line="560" w:lineRule="exact"/>
        <w:ind w:left="0" w:leftChars="0" w:right="0" w:firstLine="640" w:firstLineChars="200"/>
        <w:jc w:val="both"/>
        <w:textAlignment w:val="auto"/>
        <w:outlineLvl w:val="9"/>
        <w:rPr>
          <w:rFonts w:hint="default" w:ascii="仿宋_GB2312" w:eastAsia="仿宋_GB2312" w:cs="仿宋_GB2312"/>
          <w:color w:val="auto"/>
          <w:sz w:val="32"/>
          <w:szCs w:val="32"/>
          <w:lang w:val="en-US" w:eastAsia="zh-CN"/>
        </w:rPr>
      </w:pPr>
      <w:r>
        <w:rPr>
          <w:rFonts w:hint="eastAsia" w:ascii="仿宋_GB2312" w:eastAsia="仿宋_GB2312" w:cs="仿宋_GB2312"/>
          <w:color w:val="auto"/>
          <w:sz w:val="32"/>
          <w:szCs w:val="32"/>
        </w:rPr>
        <w:t>●</w:t>
      </w:r>
      <w:r>
        <w:rPr>
          <w:rFonts w:hint="eastAsia" w:ascii="仿宋_GB2312" w:eastAsia="仿宋_GB2312" w:cs="仿宋_GB2312"/>
          <w:color w:val="auto"/>
          <w:sz w:val="32"/>
          <w:szCs w:val="32"/>
          <w:lang w:eastAsia="zh-CN"/>
        </w:rPr>
        <w:t>国防动员支出</w:t>
      </w:r>
      <w:r>
        <w:rPr>
          <w:rFonts w:hint="eastAsia" w:ascii="仿宋_GB2312" w:eastAsia="仿宋_GB2312" w:cs="仿宋_GB2312"/>
          <w:color w:val="auto"/>
          <w:sz w:val="32"/>
          <w:szCs w:val="32"/>
          <w:lang w:val="en-US" w:eastAsia="zh-CN"/>
        </w:rPr>
        <w:t>6万元，完成调整预算的100%；</w:t>
      </w:r>
    </w:p>
    <w:p>
      <w:pPr>
        <w:keepNext w:val="0"/>
        <w:keepLines w:val="0"/>
        <w:pageBreakBefore w:val="0"/>
        <w:widowControl w:val="0"/>
        <w:kinsoku/>
        <w:wordWrap/>
        <w:overflowPunct/>
        <w:topLinePunct w:val="0"/>
        <w:autoSpaceDE/>
        <w:autoSpaceDN/>
        <w:bidi w:val="0"/>
        <w:adjustRightInd/>
        <w:snapToGrid w:val="0"/>
        <w:spacing w:line="560" w:lineRule="exact"/>
        <w:ind w:left="0" w:leftChars="0" w:right="0" w:firstLine="640" w:firstLineChars="200"/>
        <w:jc w:val="both"/>
        <w:textAlignment w:val="auto"/>
        <w:outlineLvl w:val="9"/>
        <w:rPr>
          <w:rFonts w:hint="eastAsia" w:ascii="仿宋_GB2312" w:eastAsia="仿宋_GB2312" w:cs="仿宋_GB2312"/>
          <w:color w:val="auto"/>
          <w:sz w:val="32"/>
          <w:szCs w:val="32"/>
        </w:rPr>
      </w:pPr>
      <w:r>
        <w:rPr>
          <w:rFonts w:hint="eastAsia" w:ascii="仿宋_GB2312" w:eastAsia="仿宋_GB2312" w:cs="仿宋_GB2312"/>
          <w:color w:val="auto"/>
          <w:sz w:val="32"/>
          <w:szCs w:val="32"/>
        </w:rPr>
        <w:t>●公共安全支出</w:t>
      </w:r>
      <w:r>
        <w:rPr>
          <w:rFonts w:hint="eastAsia" w:ascii="仿宋_GB2312" w:eastAsia="仿宋_GB2312" w:cs="仿宋_GB2312"/>
          <w:color w:val="auto"/>
          <w:sz w:val="32"/>
          <w:szCs w:val="32"/>
          <w:lang w:val="en-US" w:eastAsia="zh-CN"/>
        </w:rPr>
        <w:t>2107</w:t>
      </w:r>
      <w:r>
        <w:rPr>
          <w:rFonts w:hint="eastAsia" w:ascii="仿宋_GB2312" w:eastAsia="仿宋_GB2312" w:cs="仿宋_GB2312"/>
          <w:color w:val="auto"/>
          <w:sz w:val="32"/>
          <w:szCs w:val="32"/>
        </w:rPr>
        <w:t>万元，完成调整预算的</w:t>
      </w:r>
      <w:r>
        <w:rPr>
          <w:rFonts w:hint="eastAsia" w:ascii="仿宋_GB2312" w:eastAsia="仿宋_GB2312" w:cs="仿宋_GB2312"/>
          <w:color w:val="auto"/>
          <w:sz w:val="32"/>
          <w:szCs w:val="32"/>
          <w:lang w:val="en-US" w:eastAsia="zh-CN"/>
        </w:rPr>
        <w:t>100</w:t>
      </w:r>
      <w:r>
        <w:rPr>
          <w:rFonts w:hint="eastAsia" w:ascii="仿宋_GB2312" w:eastAsia="仿宋_GB2312" w:cs="仿宋_GB2312"/>
          <w:color w:val="auto"/>
          <w:sz w:val="32"/>
          <w:szCs w:val="32"/>
        </w:rPr>
        <w:t>%；</w:t>
      </w:r>
    </w:p>
    <w:p>
      <w:pPr>
        <w:keepNext w:val="0"/>
        <w:keepLines w:val="0"/>
        <w:pageBreakBefore w:val="0"/>
        <w:widowControl w:val="0"/>
        <w:kinsoku/>
        <w:wordWrap/>
        <w:overflowPunct/>
        <w:topLinePunct w:val="0"/>
        <w:autoSpaceDE/>
        <w:autoSpaceDN/>
        <w:bidi w:val="0"/>
        <w:adjustRightInd/>
        <w:snapToGrid w:val="0"/>
        <w:spacing w:line="560" w:lineRule="exact"/>
        <w:ind w:left="0" w:leftChars="0" w:right="0" w:firstLine="640" w:firstLineChars="200"/>
        <w:jc w:val="both"/>
        <w:textAlignment w:val="auto"/>
        <w:outlineLvl w:val="9"/>
        <w:rPr>
          <w:rFonts w:hint="eastAsia" w:ascii="仿宋_GB2312" w:eastAsia="仿宋_GB2312" w:cs="仿宋_GB2312"/>
          <w:color w:val="auto"/>
          <w:sz w:val="32"/>
          <w:szCs w:val="32"/>
        </w:rPr>
      </w:pPr>
      <w:r>
        <w:rPr>
          <w:rFonts w:hint="eastAsia" w:ascii="仿宋_GB2312" w:eastAsia="仿宋_GB2312" w:cs="仿宋_GB2312"/>
          <w:color w:val="auto"/>
          <w:sz w:val="32"/>
          <w:szCs w:val="32"/>
        </w:rPr>
        <w:t>●教育支出</w:t>
      </w:r>
      <w:r>
        <w:rPr>
          <w:rFonts w:hint="eastAsia" w:ascii="仿宋_GB2312" w:eastAsia="仿宋_GB2312" w:cs="仿宋_GB2312"/>
          <w:color w:val="auto"/>
          <w:sz w:val="32"/>
          <w:szCs w:val="32"/>
          <w:lang w:val="en-US" w:eastAsia="zh-CN"/>
        </w:rPr>
        <w:t>48880万</w:t>
      </w:r>
      <w:r>
        <w:rPr>
          <w:rFonts w:hint="eastAsia" w:ascii="仿宋_GB2312" w:eastAsia="仿宋_GB2312" w:cs="仿宋_GB2312"/>
          <w:color w:val="auto"/>
          <w:sz w:val="32"/>
          <w:szCs w:val="32"/>
        </w:rPr>
        <w:t>元，完成调整预算的</w:t>
      </w:r>
      <w:r>
        <w:rPr>
          <w:rFonts w:hint="eastAsia" w:ascii="仿宋_GB2312" w:eastAsia="仿宋_GB2312" w:cs="仿宋_GB2312"/>
          <w:color w:val="auto"/>
          <w:sz w:val="32"/>
          <w:szCs w:val="32"/>
          <w:lang w:val="en-US" w:eastAsia="zh-CN"/>
        </w:rPr>
        <w:t>100</w:t>
      </w:r>
      <w:r>
        <w:rPr>
          <w:rFonts w:hint="eastAsia" w:ascii="仿宋_GB2312" w:eastAsia="仿宋_GB2312" w:cs="仿宋_GB2312"/>
          <w:color w:val="auto"/>
          <w:sz w:val="32"/>
          <w:szCs w:val="32"/>
        </w:rPr>
        <w:t>%；</w:t>
      </w:r>
    </w:p>
    <w:p>
      <w:pPr>
        <w:keepNext w:val="0"/>
        <w:keepLines w:val="0"/>
        <w:pageBreakBefore w:val="0"/>
        <w:widowControl w:val="0"/>
        <w:kinsoku/>
        <w:wordWrap/>
        <w:overflowPunct/>
        <w:topLinePunct w:val="0"/>
        <w:autoSpaceDE/>
        <w:autoSpaceDN/>
        <w:bidi w:val="0"/>
        <w:adjustRightInd/>
        <w:snapToGrid w:val="0"/>
        <w:spacing w:line="560" w:lineRule="exact"/>
        <w:ind w:left="0" w:leftChars="0" w:right="0" w:firstLine="640" w:firstLineChars="200"/>
        <w:jc w:val="both"/>
        <w:textAlignment w:val="auto"/>
        <w:outlineLvl w:val="9"/>
        <w:rPr>
          <w:rFonts w:hint="eastAsia" w:ascii="仿宋_GB2312" w:eastAsia="仿宋_GB2312" w:cs="仿宋_GB2312"/>
          <w:color w:val="auto"/>
          <w:sz w:val="32"/>
          <w:szCs w:val="32"/>
        </w:rPr>
      </w:pPr>
      <w:r>
        <w:rPr>
          <w:rFonts w:hint="eastAsia" w:ascii="仿宋_GB2312" w:eastAsia="仿宋_GB2312" w:cs="仿宋_GB2312"/>
          <w:color w:val="auto"/>
          <w:sz w:val="32"/>
          <w:szCs w:val="32"/>
        </w:rPr>
        <w:t>●科学技术支出</w:t>
      </w:r>
      <w:r>
        <w:rPr>
          <w:rFonts w:hint="eastAsia" w:ascii="仿宋_GB2312" w:eastAsia="仿宋_GB2312" w:cs="仿宋_GB2312"/>
          <w:color w:val="auto"/>
          <w:sz w:val="32"/>
          <w:szCs w:val="32"/>
          <w:lang w:val="en-US" w:eastAsia="zh-CN"/>
        </w:rPr>
        <w:t>351</w:t>
      </w:r>
      <w:r>
        <w:rPr>
          <w:rFonts w:hint="eastAsia" w:ascii="仿宋_GB2312" w:eastAsia="仿宋_GB2312" w:cs="仿宋_GB2312"/>
          <w:color w:val="auto"/>
          <w:sz w:val="32"/>
          <w:szCs w:val="32"/>
        </w:rPr>
        <w:t>万元，完成调整预算的</w:t>
      </w:r>
      <w:r>
        <w:rPr>
          <w:rFonts w:hint="eastAsia" w:ascii="仿宋_GB2312" w:eastAsia="仿宋_GB2312" w:cs="仿宋_GB2312"/>
          <w:color w:val="auto"/>
          <w:sz w:val="32"/>
          <w:szCs w:val="32"/>
          <w:lang w:val="en-US" w:eastAsia="zh-CN"/>
        </w:rPr>
        <w:t>92.9</w:t>
      </w:r>
      <w:r>
        <w:rPr>
          <w:rFonts w:hint="eastAsia" w:ascii="仿宋_GB2312" w:eastAsia="仿宋_GB2312" w:cs="仿宋_GB2312"/>
          <w:color w:val="auto"/>
          <w:sz w:val="32"/>
          <w:szCs w:val="32"/>
        </w:rPr>
        <w:t>%；</w:t>
      </w:r>
    </w:p>
    <w:p>
      <w:pPr>
        <w:keepNext w:val="0"/>
        <w:keepLines w:val="0"/>
        <w:pageBreakBefore w:val="0"/>
        <w:widowControl w:val="0"/>
        <w:kinsoku/>
        <w:wordWrap/>
        <w:overflowPunct/>
        <w:topLinePunct w:val="0"/>
        <w:autoSpaceDE/>
        <w:autoSpaceDN/>
        <w:bidi w:val="0"/>
        <w:adjustRightInd/>
        <w:snapToGrid w:val="0"/>
        <w:spacing w:line="560" w:lineRule="exact"/>
        <w:ind w:left="0" w:leftChars="0" w:right="0" w:firstLine="640" w:firstLineChars="200"/>
        <w:jc w:val="both"/>
        <w:textAlignment w:val="auto"/>
        <w:outlineLvl w:val="9"/>
        <w:rPr>
          <w:rFonts w:hint="eastAsia" w:ascii="仿宋_GB2312" w:eastAsia="仿宋_GB2312" w:cs="仿宋_GB2312"/>
          <w:color w:val="auto"/>
          <w:sz w:val="32"/>
          <w:szCs w:val="32"/>
        </w:rPr>
      </w:pPr>
      <w:r>
        <w:rPr>
          <w:rFonts w:hint="eastAsia" w:ascii="仿宋_GB2312" w:eastAsia="仿宋_GB2312" w:cs="仿宋_GB2312"/>
          <w:color w:val="auto"/>
          <w:sz w:val="32"/>
          <w:szCs w:val="32"/>
        </w:rPr>
        <w:t>●文化体育与传媒支出</w:t>
      </w:r>
      <w:r>
        <w:rPr>
          <w:rFonts w:hint="eastAsia" w:ascii="仿宋_GB2312" w:eastAsia="仿宋_GB2312" w:cs="仿宋_GB2312"/>
          <w:color w:val="auto"/>
          <w:sz w:val="32"/>
          <w:szCs w:val="32"/>
          <w:lang w:val="en-US" w:eastAsia="zh-CN"/>
        </w:rPr>
        <w:t>2104</w:t>
      </w:r>
      <w:r>
        <w:rPr>
          <w:rFonts w:hint="eastAsia" w:ascii="仿宋_GB2312" w:eastAsia="仿宋_GB2312" w:cs="仿宋_GB2312"/>
          <w:color w:val="auto"/>
          <w:sz w:val="32"/>
          <w:szCs w:val="32"/>
        </w:rPr>
        <w:t>万元，完成调整预算的</w:t>
      </w:r>
      <w:r>
        <w:rPr>
          <w:rFonts w:hint="eastAsia" w:ascii="仿宋_GB2312" w:eastAsia="仿宋_GB2312" w:cs="仿宋_GB2312"/>
          <w:color w:val="auto"/>
          <w:sz w:val="32"/>
          <w:szCs w:val="32"/>
          <w:lang w:val="en-US" w:eastAsia="zh-CN"/>
        </w:rPr>
        <w:t>100</w:t>
      </w:r>
      <w:r>
        <w:rPr>
          <w:rFonts w:hint="eastAsia" w:ascii="仿宋_GB2312" w:eastAsia="仿宋_GB2312" w:cs="仿宋_GB2312"/>
          <w:color w:val="auto"/>
          <w:sz w:val="32"/>
          <w:szCs w:val="32"/>
        </w:rPr>
        <w:t>%；</w:t>
      </w:r>
    </w:p>
    <w:p>
      <w:pPr>
        <w:keepNext w:val="0"/>
        <w:keepLines w:val="0"/>
        <w:pageBreakBefore w:val="0"/>
        <w:widowControl w:val="0"/>
        <w:kinsoku/>
        <w:wordWrap/>
        <w:overflowPunct/>
        <w:topLinePunct w:val="0"/>
        <w:autoSpaceDE/>
        <w:autoSpaceDN/>
        <w:bidi w:val="0"/>
        <w:adjustRightInd/>
        <w:snapToGrid w:val="0"/>
        <w:spacing w:line="560" w:lineRule="exact"/>
        <w:ind w:left="0" w:leftChars="0" w:right="0" w:firstLine="640" w:firstLineChars="200"/>
        <w:jc w:val="both"/>
        <w:textAlignment w:val="auto"/>
        <w:outlineLvl w:val="9"/>
        <w:rPr>
          <w:rFonts w:hint="eastAsia" w:ascii="仿宋_GB2312" w:eastAsia="仿宋_GB2312" w:cs="仿宋_GB2312"/>
          <w:color w:val="auto"/>
          <w:sz w:val="32"/>
          <w:szCs w:val="32"/>
        </w:rPr>
      </w:pPr>
      <w:r>
        <w:rPr>
          <w:rFonts w:hint="eastAsia" w:ascii="仿宋_GB2312" w:eastAsia="仿宋_GB2312" w:cs="仿宋_GB2312"/>
          <w:color w:val="auto"/>
          <w:sz w:val="32"/>
          <w:szCs w:val="32"/>
        </w:rPr>
        <w:t>●社会保障与就业支出</w:t>
      </w:r>
      <w:r>
        <w:rPr>
          <w:rFonts w:hint="eastAsia" w:ascii="仿宋_GB2312" w:eastAsia="仿宋_GB2312" w:cs="仿宋_GB2312"/>
          <w:color w:val="auto"/>
          <w:sz w:val="32"/>
          <w:szCs w:val="32"/>
          <w:lang w:val="en-US" w:eastAsia="zh-CN"/>
        </w:rPr>
        <w:t>28066万</w:t>
      </w:r>
      <w:r>
        <w:rPr>
          <w:rFonts w:hint="eastAsia" w:ascii="仿宋_GB2312" w:eastAsia="仿宋_GB2312" w:cs="仿宋_GB2312"/>
          <w:color w:val="auto"/>
          <w:sz w:val="32"/>
          <w:szCs w:val="32"/>
        </w:rPr>
        <w:t>元，完成调整预算的</w:t>
      </w:r>
      <w:r>
        <w:rPr>
          <w:rFonts w:hint="eastAsia" w:ascii="仿宋_GB2312" w:eastAsia="仿宋_GB2312" w:cs="仿宋_GB2312"/>
          <w:color w:val="auto"/>
          <w:sz w:val="32"/>
          <w:szCs w:val="32"/>
          <w:lang w:val="en-US" w:eastAsia="zh-CN"/>
        </w:rPr>
        <w:t>99.9</w:t>
      </w:r>
      <w:r>
        <w:rPr>
          <w:rFonts w:hint="eastAsia" w:ascii="仿宋_GB2312" w:eastAsia="仿宋_GB2312" w:cs="仿宋_GB2312"/>
          <w:color w:val="auto"/>
          <w:sz w:val="32"/>
          <w:szCs w:val="32"/>
        </w:rPr>
        <w:t>%；</w:t>
      </w:r>
    </w:p>
    <w:p>
      <w:pPr>
        <w:keepNext w:val="0"/>
        <w:keepLines w:val="0"/>
        <w:pageBreakBefore w:val="0"/>
        <w:widowControl w:val="0"/>
        <w:kinsoku/>
        <w:wordWrap/>
        <w:overflowPunct/>
        <w:topLinePunct w:val="0"/>
        <w:autoSpaceDE/>
        <w:autoSpaceDN/>
        <w:bidi w:val="0"/>
        <w:adjustRightInd/>
        <w:snapToGrid w:val="0"/>
        <w:spacing w:line="560" w:lineRule="exact"/>
        <w:ind w:left="0" w:leftChars="0" w:right="0" w:firstLine="640" w:firstLineChars="200"/>
        <w:jc w:val="both"/>
        <w:textAlignment w:val="auto"/>
        <w:outlineLvl w:val="9"/>
        <w:rPr>
          <w:rFonts w:hint="eastAsia" w:ascii="仿宋_GB2312" w:eastAsia="仿宋_GB2312" w:cs="仿宋_GB2312"/>
          <w:color w:val="auto"/>
          <w:sz w:val="32"/>
          <w:szCs w:val="32"/>
        </w:rPr>
      </w:pPr>
      <w:r>
        <w:rPr>
          <w:rFonts w:hint="eastAsia" w:ascii="仿宋_GB2312" w:eastAsia="仿宋_GB2312" w:cs="仿宋_GB2312"/>
          <w:color w:val="auto"/>
          <w:sz w:val="32"/>
          <w:szCs w:val="32"/>
        </w:rPr>
        <w:t>●医疗卫生支出</w:t>
      </w:r>
      <w:r>
        <w:rPr>
          <w:rFonts w:hint="eastAsia" w:ascii="仿宋_GB2312" w:eastAsia="仿宋_GB2312" w:cs="仿宋_GB2312"/>
          <w:color w:val="auto"/>
          <w:sz w:val="32"/>
          <w:szCs w:val="32"/>
          <w:lang w:val="en-US" w:eastAsia="zh-CN"/>
        </w:rPr>
        <w:t>21099万</w:t>
      </w:r>
      <w:r>
        <w:rPr>
          <w:rFonts w:hint="eastAsia" w:ascii="仿宋_GB2312" w:eastAsia="仿宋_GB2312" w:cs="仿宋_GB2312"/>
          <w:color w:val="auto"/>
          <w:sz w:val="32"/>
          <w:szCs w:val="32"/>
        </w:rPr>
        <w:t>元</w:t>
      </w:r>
      <w:r>
        <w:rPr>
          <w:rFonts w:hint="eastAsia" w:ascii="仿宋_GB2312" w:eastAsia="仿宋_GB2312" w:cs="仿宋_GB2312"/>
          <w:color w:val="auto"/>
          <w:sz w:val="32"/>
          <w:szCs w:val="32"/>
          <w:lang w:eastAsia="zh-CN"/>
        </w:rPr>
        <w:t>，</w:t>
      </w:r>
      <w:r>
        <w:rPr>
          <w:rFonts w:hint="eastAsia" w:ascii="仿宋_GB2312" w:eastAsia="仿宋_GB2312" w:cs="仿宋_GB2312"/>
          <w:color w:val="auto"/>
          <w:sz w:val="32"/>
          <w:szCs w:val="32"/>
          <w:lang w:val="en-US" w:eastAsia="zh-CN"/>
        </w:rPr>
        <w:t>完成调整预算的100</w:t>
      </w:r>
      <w:r>
        <w:rPr>
          <w:rFonts w:hint="eastAsia" w:ascii="仿宋_GB2312" w:eastAsia="仿宋_GB2312" w:cs="仿宋_GB2312"/>
          <w:color w:val="auto"/>
          <w:sz w:val="32"/>
          <w:szCs w:val="32"/>
        </w:rPr>
        <w:t>%</w:t>
      </w:r>
      <w:r>
        <w:rPr>
          <w:rFonts w:hint="eastAsia" w:ascii="仿宋_GB2312" w:eastAsia="仿宋_GB2312" w:cs="仿宋_GB2312"/>
          <w:color w:val="auto"/>
          <w:sz w:val="32"/>
          <w:szCs w:val="32"/>
          <w:lang w:eastAsia="zh-CN"/>
        </w:rPr>
        <w:t>；</w:t>
      </w:r>
    </w:p>
    <w:p>
      <w:pPr>
        <w:keepNext w:val="0"/>
        <w:keepLines w:val="0"/>
        <w:pageBreakBefore w:val="0"/>
        <w:widowControl w:val="0"/>
        <w:kinsoku/>
        <w:wordWrap/>
        <w:overflowPunct/>
        <w:topLinePunct w:val="0"/>
        <w:autoSpaceDE/>
        <w:autoSpaceDN/>
        <w:bidi w:val="0"/>
        <w:adjustRightInd/>
        <w:snapToGrid w:val="0"/>
        <w:spacing w:line="560" w:lineRule="exact"/>
        <w:ind w:left="0" w:leftChars="0" w:right="0" w:firstLine="640" w:firstLineChars="200"/>
        <w:jc w:val="both"/>
        <w:textAlignment w:val="auto"/>
        <w:outlineLvl w:val="9"/>
        <w:rPr>
          <w:rFonts w:hint="default" w:ascii="仿宋_GB2312" w:eastAsia="仿宋_GB2312" w:cs="仿宋_GB2312"/>
          <w:color w:val="auto"/>
          <w:sz w:val="32"/>
          <w:szCs w:val="32"/>
          <w:lang w:val="en-US" w:eastAsia="zh-CN"/>
        </w:rPr>
      </w:pPr>
      <w:r>
        <w:rPr>
          <w:rFonts w:hint="eastAsia" w:ascii="仿宋_GB2312" w:eastAsia="仿宋_GB2312" w:cs="仿宋_GB2312"/>
          <w:color w:val="auto"/>
          <w:sz w:val="32"/>
          <w:szCs w:val="32"/>
        </w:rPr>
        <w:t>●</w:t>
      </w:r>
      <w:r>
        <w:rPr>
          <w:rFonts w:hint="eastAsia" w:ascii="仿宋_GB2312" w:eastAsia="仿宋_GB2312" w:cs="仿宋_GB2312"/>
          <w:color w:val="auto"/>
          <w:sz w:val="32"/>
          <w:szCs w:val="32"/>
          <w:lang w:val="en-US" w:eastAsia="zh-CN"/>
        </w:rPr>
        <w:t>节能环保支出239万元，完成调整预算的11.7%</w:t>
      </w:r>
      <w:r>
        <w:rPr>
          <w:rFonts w:hint="eastAsia" w:ascii="仿宋_GB2312" w:eastAsia="仿宋_GB2312" w:cs="仿宋_GB2312"/>
          <w:color w:val="auto"/>
          <w:sz w:val="32"/>
          <w:szCs w:val="32"/>
          <w:lang w:eastAsia="zh-CN"/>
        </w:rPr>
        <w:t>；</w:t>
      </w:r>
    </w:p>
    <w:p>
      <w:pPr>
        <w:keepNext w:val="0"/>
        <w:keepLines w:val="0"/>
        <w:pageBreakBefore w:val="0"/>
        <w:widowControl w:val="0"/>
        <w:kinsoku/>
        <w:wordWrap/>
        <w:overflowPunct/>
        <w:topLinePunct w:val="0"/>
        <w:autoSpaceDE/>
        <w:autoSpaceDN/>
        <w:bidi w:val="0"/>
        <w:adjustRightInd/>
        <w:snapToGrid w:val="0"/>
        <w:spacing w:line="560" w:lineRule="exact"/>
        <w:ind w:left="0" w:leftChars="0" w:right="0" w:firstLine="640" w:firstLineChars="200"/>
        <w:jc w:val="both"/>
        <w:textAlignment w:val="auto"/>
        <w:outlineLvl w:val="9"/>
        <w:rPr>
          <w:rFonts w:hint="eastAsia" w:ascii="仿宋_GB2312" w:eastAsia="仿宋_GB2312" w:cs="仿宋_GB2312"/>
          <w:color w:val="auto"/>
          <w:sz w:val="32"/>
          <w:szCs w:val="32"/>
          <w:lang w:val="en-US" w:eastAsia="zh-CN"/>
        </w:rPr>
      </w:pPr>
      <w:r>
        <w:rPr>
          <w:rFonts w:hint="eastAsia" w:ascii="仿宋_GB2312" w:eastAsia="仿宋_GB2312" w:cs="仿宋_GB2312"/>
          <w:color w:val="auto"/>
          <w:sz w:val="32"/>
          <w:szCs w:val="32"/>
        </w:rPr>
        <w:t>●</w:t>
      </w:r>
      <w:r>
        <w:rPr>
          <w:rFonts w:hint="eastAsia" w:ascii="仿宋_GB2312" w:eastAsia="仿宋_GB2312" w:cs="仿宋_GB2312"/>
          <w:color w:val="auto"/>
          <w:sz w:val="32"/>
          <w:szCs w:val="32"/>
          <w:lang w:val="en-US" w:eastAsia="zh-CN"/>
        </w:rPr>
        <w:t>城乡社区支出23310万元，完成调整预算的97.9%；</w:t>
      </w:r>
    </w:p>
    <w:p>
      <w:pPr>
        <w:keepNext w:val="0"/>
        <w:keepLines w:val="0"/>
        <w:pageBreakBefore w:val="0"/>
        <w:widowControl w:val="0"/>
        <w:kinsoku/>
        <w:wordWrap/>
        <w:overflowPunct/>
        <w:topLinePunct w:val="0"/>
        <w:autoSpaceDE/>
        <w:autoSpaceDN/>
        <w:bidi w:val="0"/>
        <w:adjustRightInd/>
        <w:snapToGrid w:val="0"/>
        <w:spacing w:line="560" w:lineRule="exact"/>
        <w:ind w:left="0" w:leftChars="0" w:right="0" w:firstLine="640" w:firstLineChars="200"/>
        <w:jc w:val="both"/>
        <w:textAlignment w:val="auto"/>
        <w:outlineLvl w:val="9"/>
        <w:rPr>
          <w:rFonts w:hint="eastAsia" w:ascii="仿宋_GB2312" w:eastAsia="仿宋_GB2312" w:cs="仿宋_GB2312"/>
          <w:color w:val="auto"/>
          <w:sz w:val="32"/>
          <w:szCs w:val="32"/>
          <w:lang w:eastAsia="zh-CN"/>
        </w:rPr>
      </w:pPr>
      <w:r>
        <w:rPr>
          <w:rFonts w:hint="eastAsia" w:ascii="仿宋_GB2312" w:eastAsia="仿宋_GB2312" w:cs="仿宋_GB2312"/>
          <w:color w:val="auto"/>
          <w:sz w:val="32"/>
          <w:szCs w:val="32"/>
        </w:rPr>
        <w:t>●农林水事务支出</w:t>
      </w:r>
      <w:r>
        <w:rPr>
          <w:rFonts w:hint="eastAsia" w:ascii="仿宋_GB2312" w:eastAsia="仿宋_GB2312" w:cs="仿宋_GB2312"/>
          <w:color w:val="auto"/>
          <w:sz w:val="32"/>
          <w:szCs w:val="32"/>
          <w:lang w:val="en-US" w:eastAsia="zh-CN"/>
        </w:rPr>
        <w:t>9028万</w:t>
      </w:r>
      <w:r>
        <w:rPr>
          <w:rFonts w:hint="eastAsia" w:ascii="仿宋_GB2312" w:eastAsia="仿宋_GB2312" w:cs="仿宋_GB2312"/>
          <w:color w:val="auto"/>
          <w:sz w:val="32"/>
          <w:szCs w:val="32"/>
        </w:rPr>
        <w:t>元，完成调整预算的</w:t>
      </w:r>
      <w:r>
        <w:rPr>
          <w:rFonts w:hint="eastAsia" w:ascii="仿宋_GB2312" w:eastAsia="仿宋_GB2312" w:cs="仿宋_GB2312"/>
          <w:color w:val="auto"/>
          <w:sz w:val="32"/>
          <w:szCs w:val="32"/>
          <w:lang w:val="en-US" w:eastAsia="zh-CN"/>
        </w:rPr>
        <w:t>97.5</w:t>
      </w:r>
      <w:r>
        <w:rPr>
          <w:rFonts w:hint="eastAsia" w:ascii="仿宋_GB2312" w:eastAsia="仿宋_GB2312" w:cs="仿宋_GB2312"/>
          <w:color w:val="auto"/>
          <w:sz w:val="32"/>
          <w:szCs w:val="32"/>
        </w:rPr>
        <w:t>%</w:t>
      </w:r>
      <w:r>
        <w:rPr>
          <w:rFonts w:hint="eastAsia" w:ascii="仿宋_GB2312" w:eastAsia="仿宋_GB2312" w:cs="仿宋_GB2312"/>
          <w:color w:val="auto"/>
          <w:sz w:val="32"/>
          <w:szCs w:val="32"/>
          <w:lang w:eastAsia="zh-CN"/>
        </w:rPr>
        <w:t>；</w:t>
      </w:r>
    </w:p>
    <w:p>
      <w:pPr>
        <w:keepNext w:val="0"/>
        <w:keepLines w:val="0"/>
        <w:pageBreakBefore w:val="0"/>
        <w:widowControl w:val="0"/>
        <w:kinsoku/>
        <w:wordWrap/>
        <w:overflowPunct/>
        <w:topLinePunct w:val="0"/>
        <w:autoSpaceDE/>
        <w:autoSpaceDN/>
        <w:bidi w:val="0"/>
        <w:adjustRightInd/>
        <w:snapToGrid w:val="0"/>
        <w:spacing w:line="560" w:lineRule="exact"/>
        <w:ind w:left="0" w:leftChars="0" w:right="0" w:firstLine="640" w:firstLineChars="200"/>
        <w:jc w:val="both"/>
        <w:textAlignment w:val="auto"/>
        <w:outlineLvl w:val="9"/>
        <w:rPr>
          <w:rFonts w:hint="eastAsia" w:ascii="仿宋_GB2312" w:eastAsia="仿宋_GB2312" w:cs="仿宋_GB2312"/>
          <w:color w:val="auto"/>
          <w:sz w:val="32"/>
          <w:szCs w:val="32"/>
          <w:lang w:val="en-US" w:eastAsia="zh-CN"/>
        </w:rPr>
      </w:pPr>
      <w:r>
        <w:rPr>
          <w:rFonts w:hint="eastAsia" w:ascii="仿宋_GB2312" w:eastAsia="仿宋_GB2312" w:cs="仿宋_GB2312"/>
          <w:color w:val="auto"/>
          <w:sz w:val="32"/>
          <w:szCs w:val="32"/>
        </w:rPr>
        <w:t>●</w:t>
      </w:r>
      <w:r>
        <w:rPr>
          <w:rFonts w:hint="eastAsia" w:ascii="仿宋_GB2312" w:eastAsia="仿宋_GB2312" w:cs="仿宋_GB2312"/>
          <w:color w:val="auto"/>
          <w:sz w:val="32"/>
          <w:szCs w:val="32"/>
          <w:lang w:val="en-US" w:eastAsia="zh-CN"/>
        </w:rPr>
        <w:t>交通运输支出8740万元，完成调整预算的58.9%；</w:t>
      </w:r>
    </w:p>
    <w:p>
      <w:pPr>
        <w:keepNext w:val="0"/>
        <w:keepLines w:val="0"/>
        <w:pageBreakBefore w:val="0"/>
        <w:widowControl w:val="0"/>
        <w:kinsoku/>
        <w:wordWrap/>
        <w:overflowPunct/>
        <w:topLinePunct w:val="0"/>
        <w:autoSpaceDE/>
        <w:autoSpaceDN/>
        <w:bidi w:val="0"/>
        <w:adjustRightInd/>
        <w:snapToGrid w:val="0"/>
        <w:spacing w:line="560" w:lineRule="exact"/>
        <w:ind w:left="0" w:leftChars="0" w:right="0" w:firstLine="640" w:firstLineChars="200"/>
        <w:jc w:val="both"/>
        <w:textAlignment w:val="auto"/>
        <w:outlineLvl w:val="9"/>
        <w:rPr>
          <w:rFonts w:hint="eastAsia" w:ascii="仿宋_GB2312" w:eastAsia="仿宋_GB2312" w:cs="仿宋_GB2312"/>
          <w:color w:val="auto"/>
          <w:sz w:val="32"/>
          <w:szCs w:val="32"/>
          <w:lang w:val="en-US" w:eastAsia="zh-CN"/>
        </w:rPr>
      </w:pPr>
      <w:r>
        <w:rPr>
          <w:rFonts w:hint="eastAsia" w:ascii="仿宋_GB2312" w:eastAsia="仿宋_GB2312" w:cs="仿宋_GB2312"/>
          <w:color w:val="auto"/>
          <w:sz w:val="32"/>
          <w:szCs w:val="32"/>
        </w:rPr>
        <w:t>●</w:t>
      </w:r>
      <w:r>
        <w:rPr>
          <w:rFonts w:hint="eastAsia" w:ascii="仿宋_GB2312" w:eastAsia="仿宋_GB2312" w:cs="仿宋_GB2312"/>
          <w:color w:val="auto"/>
          <w:sz w:val="32"/>
          <w:szCs w:val="32"/>
          <w:lang w:val="en-US" w:eastAsia="zh-CN"/>
        </w:rPr>
        <w:t>资源勘探信息支出6237万元，完成调整预算的100%；</w:t>
      </w:r>
    </w:p>
    <w:p>
      <w:pPr>
        <w:keepNext w:val="0"/>
        <w:keepLines w:val="0"/>
        <w:pageBreakBefore w:val="0"/>
        <w:widowControl w:val="0"/>
        <w:kinsoku/>
        <w:wordWrap/>
        <w:overflowPunct/>
        <w:topLinePunct w:val="0"/>
        <w:autoSpaceDE/>
        <w:autoSpaceDN/>
        <w:bidi w:val="0"/>
        <w:adjustRightInd/>
        <w:snapToGrid w:val="0"/>
        <w:spacing w:line="560" w:lineRule="exact"/>
        <w:ind w:left="0" w:leftChars="0" w:right="0" w:firstLine="640" w:firstLineChars="200"/>
        <w:jc w:val="both"/>
        <w:textAlignment w:val="auto"/>
        <w:outlineLvl w:val="9"/>
        <w:rPr>
          <w:rFonts w:hint="eastAsia" w:ascii="仿宋_GB2312" w:eastAsia="仿宋_GB2312" w:cs="仿宋_GB2312"/>
          <w:color w:val="auto"/>
          <w:sz w:val="32"/>
          <w:szCs w:val="32"/>
          <w:lang w:val="en-US" w:eastAsia="zh-CN"/>
        </w:rPr>
      </w:pPr>
      <w:r>
        <w:rPr>
          <w:rFonts w:hint="eastAsia" w:ascii="仿宋_GB2312" w:eastAsia="仿宋_GB2312" w:cs="仿宋_GB2312"/>
          <w:color w:val="auto"/>
          <w:sz w:val="32"/>
          <w:szCs w:val="32"/>
        </w:rPr>
        <w:t>●</w:t>
      </w:r>
      <w:r>
        <w:rPr>
          <w:rFonts w:hint="eastAsia" w:ascii="仿宋_GB2312" w:eastAsia="仿宋_GB2312" w:cs="仿宋_GB2312"/>
          <w:color w:val="auto"/>
          <w:sz w:val="32"/>
          <w:szCs w:val="32"/>
          <w:lang w:val="en-US" w:eastAsia="zh-CN"/>
        </w:rPr>
        <w:t>商业服务支出361万元，完成调整预算的98.6%；</w:t>
      </w:r>
    </w:p>
    <w:p>
      <w:pPr>
        <w:keepNext w:val="0"/>
        <w:keepLines w:val="0"/>
        <w:pageBreakBefore w:val="0"/>
        <w:widowControl w:val="0"/>
        <w:kinsoku/>
        <w:wordWrap/>
        <w:overflowPunct/>
        <w:topLinePunct w:val="0"/>
        <w:autoSpaceDE/>
        <w:autoSpaceDN/>
        <w:bidi w:val="0"/>
        <w:adjustRightInd/>
        <w:snapToGrid w:val="0"/>
        <w:spacing w:line="560" w:lineRule="exact"/>
        <w:ind w:left="0" w:leftChars="0" w:right="0" w:firstLine="640" w:firstLineChars="200"/>
        <w:jc w:val="both"/>
        <w:textAlignment w:val="auto"/>
        <w:outlineLvl w:val="9"/>
        <w:rPr>
          <w:rFonts w:hint="eastAsia" w:ascii="仿宋_GB2312" w:eastAsia="仿宋_GB2312" w:cs="仿宋_GB2312"/>
          <w:color w:val="auto"/>
          <w:sz w:val="32"/>
          <w:szCs w:val="32"/>
          <w:lang w:val="en-US" w:eastAsia="zh-CN"/>
        </w:rPr>
      </w:pPr>
      <w:r>
        <w:rPr>
          <w:rFonts w:hint="eastAsia" w:ascii="仿宋_GB2312" w:eastAsia="仿宋_GB2312" w:cs="仿宋_GB2312"/>
          <w:color w:val="auto"/>
          <w:sz w:val="32"/>
          <w:szCs w:val="32"/>
        </w:rPr>
        <w:t>●</w:t>
      </w:r>
      <w:r>
        <w:rPr>
          <w:rFonts w:hint="eastAsia" w:ascii="仿宋_GB2312" w:eastAsia="仿宋_GB2312" w:cs="仿宋_GB2312"/>
          <w:color w:val="auto"/>
          <w:sz w:val="32"/>
          <w:szCs w:val="32"/>
          <w:lang w:eastAsia="zh-CN"/>
        </w:rPr>
        <w:t>自然资源</w:t>
      </w:r>
      <w:r>
        <w:rPr>
          <w:rFonts w:hint="eastAsia" w:ascii="仿宋_GB2312" w:eastAsia="仿宋_GB2312" w:cs="仿宋_GB2312"/>
          <w:color w:val="auto"/>
          <w:sz w:val="32"/>
          <w:szCs w:val="32"/>
          <w:lang w:val="en-US" w:eastAsia="zh-CN"/>
        </w:rPr>
        <w:t>海洋气象支出13万元，完成调整预算的100%；</w:t>
      </w:r>
    </w:p>
    <w:p>
      <w:pPr>
        <w:keepNext w:val="0"/>
        <w:keepLines w:val="0"/>
        <w:pageBreakBefore w:val="0"/>
        <w:widowControl w:val="0"/>
        <w:kinsoku/>
        <w:wordWrap/>
        <w:overflowPunct/>
        <w:topLinePunct w:val="0"/>
        <w:autoSpaceDE/>
        <w:autoSpaceDN/>
        <w:bidi w:val="0"/>
        <w:adjustRightInd/>
        <w:snapToGrid w:val="0"/>
        <w:spacing w:line="560" w:lineRule="exact"/>
        <w:ind w:left="0" w:leftChars="0" w:right="0" w:firstLine="640" w:firstLineChars="200"/>
        <w:jc w:val="both"/>
        <w:textAlignment w:val="auto"/>
        <w:outlineLvl w:val="9"/>
        <w:rPr>
          <w:rFonts w:hint="eastAsia" w:ascii="仿宋_GB2312" w:eastAsia="仿宋_GB2312" w:cs="仿宋_GB2312"/>
          <w:color w:val="auto"/>
          <w:sz w:val="32"/>
          <w:szCs w:val="32"/>
          <w:lang w:val="en-US" w:eastAsia="zh-CN"/>
        </w:rPr>
      </w:pPr>
      <w:r>
        <w:rPr>
          <w:rFonts w:hint="eastAsia" w:ascii="仿宋_GB2312" w:eastAsia="仿宋_GB2312" w:cs="仿宋_GB2312"/>
          <w:color w:val="auto"/>
          <w:sz w:val="32"/>
          <w:szCs w:val="32"/>
        </w:rPr>
        <w:t>●</w:t>
      </w:r>
      <w:r>
        <w:rPr>
          <w:rFonts w:hint="eastAsia" w:ascii="仿宋_GB2312" w:eastAsia="仿宋_GB2312" w:cs="仿宋_GB2312"/>
          <w:color w:val="auto"/>
          <w:sz w:val="32"/>
          <w:szCs w:val="32"/>
          <w:lang w:val="en-US" w:eastAsia="zh-CN"/>
        </w:rPr>
        <w:t>住房保障支出13115万元，完成调整预算的60%；</w:t>
      </w:r>
    </w:p>
    <w:p>
      <w:pPr>
        <w:keepNext w:val="0"/>
        <w:keepLines w:val="0"/>
        <w:pageBreakBefore w:val="0"/>
        <w:widowControl w:val="0"/>
        <w:kinsoku/>
        <w:wordWrap/>
        <w:overflowPunct/>
        <w:topLinePunct w:val="0"/>
        <w:autoSpaceDE/>
        <w:autoSpaceDN/>
        <w:bidi w:val="0"/>
        <w:adjustRightInd/>
        <w:snapToGrid w:val="0"/>
        <w:spacing w:line="560" w:lineRule="exact"/>
        <w:ind w:left="0" w:leftChars="0" w:right="0" w:firstLine="640" w:firstLineChars="200"/>
        <w:jc w:val="both"/>
        <w:textAlignment w:val="auto"/>
        <w:outlineLvl w:val="9"/>
        <w:rPr>
          <w:rFonts w:hint="eastAsia" w:ascii="仿宋_GB2312" w:eastAsia="仿宋_GB2312" w:cs="仿宋_GB2312"/>
          <w:color w:val="auto"/>
          <w:sz w:val="32"/>
          <w:szCs w:val="32"/>
          <w:lang w:val="en-US" w:eastAsia="zh-CN"/>
        </w:rPr>
      </w:pPr>
      <w:r>
        <w:rPr>
          <w:rFonts w:hint="eastAsia" w:ascii="仿宋_GB2312" w:eastAsia="仿宋_GB2312" w:cs="仿宋_GB2312"/>
          <w:color w:val="auto"/>
          <w:sz w:val="32"/>
          <w:szCs w:val="32"/>
        </w:rPr>
        <w:t>●</w:t>
      </w:r>
      <w:r>
        <w:rPr>
          <w:rFonts w:hint="eastAsia" w:ascii="仿宋_GB2312" w:eastAsia="仿宋_GB2312" w:cs="仿宋_GB2312"/>
          <w:color w:val="auto"/>
          <w:sz w:val="32"/>
          <w:szCs w:val="32"/>
          <w:lang w:val="en-US" w:eastAsia="zh-CN"/>
        </w:rPr>
        <w:t>粮油物资储备支出583万元，完成调整预算的100%；</w:t>
      </w:r>
    </w:p>
    <w:p>
      <w:pPr>
        <w:keepNext w:val="0"/>
        <w:keepLines w:val="0"/>
        <w:pageBreakBefore w:val="0"/>
        <w:widowControl w:val="0"/>
        <w:kinsoku/>
        <w:wordWrap/>
        <w:overflowPunct/>
        <w:topLinePunct w:val="0"/>
        <w:autoSpaceDE/>
        <w:autoSpaceDN/>
        <w:bidi w:val="0"/>
        <w:adjustRightInd/>
        <w:snapToGrid w:val="0"/>
        <w:spacing w:line="560" w:lineRule="exact"/>
        <w:ind w:left="0" w:leftChars="0" w:right="0" w:firstLine="640" w:firstLineChars="200"/>
        <w:jc w:val="both"/>
        <w:textAlignment w:val="auto"/>
        <w:outlineLvl w:val="9"/>
        <w:rPr>
          <w:rFonts w:hint="eastAsia" w:ascii="仿宋_GB2312" w:eastAsia="仿宋_GB2312" w:cs="仿宋_GB2312"/>
          <w:color w:val="auto"/>
          <w:sz w:val="32"/>
          <w:szCs w:val="32"/>
          <w:lang w:val="en-US" w:eastAsia="zh-CN"/>
        </w:rPr>
      </w:pPr>
      <w:r>
        <w:rPr>
          <w:rFonts w:hint="eastAsia" w:ascii="仿宋_GB2312" w:eastAsia="仿宋_GB2312" w:cs="仿宋_GB2312"/>
          <w:color w:val="auto"/>
          <w:sz w:val="32"/>
          <w:szCs w:val="32"/>
        </w:rPr>
        <w:t>●</w:t>
      </w:r>
      <w:r>
        <w:rPr>
          <w:rFonts w:hint="eastAsia" w:ascii="仿宋_GB2312" w:eastAsia="仿宋_GB2312" w:cs="仿宋_GB2312"/>
          <w:color w:val="auto"/>
          <w:sz w:val="32"/>
          <w:szCs w:val="32"/>
          <w:lang w:val="en-US" w:eastAsia="zh-CN"/>
        </w:rPr>
        <w:t>灾害防治及应急管理支出3511万元，完成调整预算的100%；</w:t>
      </w:r>
    </w:p>
    <w:p>
      <w:pPr>
        <w:keepNext w:val="0"/>
        <w:keepLines w:val="0"/>
        <w:pageBreakBefore w:val="0"/>
        <w:widowControl w:val="0"/>
        <w:kinsoku/>
        <w:wordWrap/>
        <w:overflowPunct/>
        <w:topLinePunct w:val="0"/>
        <w:autoSpaceDE/>
        <w:autoSpaceDN/>
        <w:bidi w:val="0"/>
        <w:adjustRightInd/>
        <w:snapToGrid w:val="0"/>
        <w:spacing w:line="560" w:lineRule="exact"/>
        <w:ind w:left="0" w:leftChars="0" w:right="0" w:firstLine="640" w:firstLineChars="200"/>
        <w:jc w:val="both"/>
        <w:textAlignment w:val="auto"/>
        <w:outlineLvl w:val="9"/>
        <w:rPr>
          <w:rFonts w:hint="eastAsia" w:ascii="仿宋_GB2312" w:eastAsia="仿宋_GB2312" w:cs="仿宋_GB2312"/>
          <w:color w:val="auto"/>
          <w:sz w:val="32"/>
          <w:szCs w:val="32"/>
          <w:lang w:val="en-US" w:eastAsia="zh-CN"/>
        </w:rPr>
      </w:pPr>
      <w:r>
        <w:rPr>
          <w:rFonts w:hint="eastAsia" w:ascii="仿宋_GB2312" w:eastAsia="仿宋_GB2312" w:cs="仿宋_GB2312"/>
          <w:color w:val="auto"/>
          <w:sz w:val="32"/>
          <w:szCs w:val="32"/>
        </w:rPr>
        <w:t>●</w:t>
      </w:r>
      <w:r>
        <w:rPr>
          <w:rFonts w:hint="eastAsia" w:ascii="仿宋_GB2312" w:eastAsia="仿宋_GB2312" w:cs="仿宋_GB2312"/>
          <w:color w:val="auto"/>
          <w:sz w:val="32"/>
          <w:szCs w:val="32"/>
          <w:lang w:val="en-US" w:eastAsia="zh-CN"/>
        </w:rPr>
        <w:t>债务付息支出1149万元，完成调整预算的100%；</w:t>
      </w:r>
    </w:p>
    <w:p>
      <w:pPr>
        <w:keepNext w:val="0"/>
        <w:keepLines w:val="0"/>
        <w:pageBreakBefore w:val="0"/>
        <w:widowControl w:val="0"/>
        <w:kinsoku/>
        <w:wordWrap/>
        <w:overflowPunct/>
        <w:topLinePunct w:val="0"/>
        <w:autoSpaceDE/>
        <w:autoSpaceDN/>
        <w:bidi w:val="0"/>
        <w:adjustRightInd/>
        <w:snapToGrid w:val="0"/>
        <w:spacing w:line="560" w:lineRule="exact"/>
        <w:ind w:left="0" w:leftChars="0" w:right="0" w:firstLine="640" w:firstLineChars="200"/>
        <w:jc w:val="both"/>
        <w:textAlignment w:val="auto"/>
        <w:outlineLvl w:val="9"/>
        <w:rPr>
          <w:rFonts w:hint="eastAsia" w:ascii="仿宋_GB2312" w:eastAsia="仿宋_GB2312" w:cs="仿宋_GB2312"/>
          <w:color w:val="auto"/>
          <w:sz w:val="32"/>
          <w:szCs w:val="32"/>
        </w:rPr>
      </w:pPr>
      <w:r>
        <w:rPr>
          <w:rFonts w:hint="eastAsia" w:ascii="仿宋_GB2312" w:eastAsia="仿宋_GB2312" w:cs="仿宋_GB2312"/>
          <w:color w:val="auto"/>
          <w:sz w:val="32"/>
          <w:szCs w:val="32"/>
        </w:rPr>
        <w:t>全年用于民生的教育、文化、社保、医疗、节能环保、城乡社区事务、农林水、交通运输和住房保障支出</w:t>
      </w:r>
      <w:r>
        <w:rPr>
          <w:rFonts w:hint="eastAsia" w:ascii="仿宋_GB2312" w:eastAsia="仿宋_GB2312" w:cs="仿宋_GB2312"/>
          <w:color w:val="auto"/>
          <w:sz w:val="32"/>
          <w:szCs w:val="32"/>
          <w:lang w:val="en-US" w:eastAsia="zh-CN"/>
        </w:rPr>
        <w:t>154581万</w:t>
      </w:r>
      <w:r>
        <w:rPr>
          <w:rFonts w:hint="eastAsia" w:ascii="仿宋_GB2312" w:eastAsia="仿宋_GB2312" w:cs="仿宋_GB2312"/>
          <w:color w:val="auto"/>
          <w:sz w:val="32"/>
          <w:szCs w:val="32"/>
        </w:rPr>
        <w:t>元，占一般公共预算支出的</w:t>
      </w:r>
      <w:r>
        <w:rPr>
          <w:rFonts w:hint="eastAsia" w:ascii="仿宋_GB2312" w:eastAsia="仿宋_GB2312" w:cs="仿宋_GB2312"/>
          <w:color w:val="auto"/>
          <w:sz w:val="32"/>
          <w:szCs w:val="32"/>
          <w:lang w:val="en-US" w:eastAsia="zh-CN"/>
        </w:rPr>
        <w:t>67.4</w:t>
      </w:r>
      <w:r>
        <w:rPr>
          <w:rFonts w:hint="eastAsia" w:ascii="仿宋_GB2312" w:eastAsia="仿宋_GB2312" w:cs="仿宋_GB2312"/>
          <w:color w:val="auto"/>
          <w:sz w:val="32"/>
          <w:szCs w:val="32"/>
        </w:rPr>
        <w:t>%。</w:t>
      </w:r>
    </w:p>
    <w:p>
      <w:pPr>
        <w:keepNext w:val="0"/>
        <w:keepLines w:val="0"/>
        <w:pageBreakBefore w:val="0"/>
        <w:widowControl w:val="0"/>
        <w:kinsoku/>
        <w:wordWrap/>
        <w:overflowPunct/>
        <w:topLinePunct w:val="0"/>
        <w:autoSpaceDE/>
        <w:autoSpaceDN/>
        <w:bidi w:val="0"/>
        <w:adjustRightInd/>
        <w:snapToGrid w:val="0"/>
        <w:spacing w:line="560" w:lineRule="exact"/>
        <w:ind w:left="0" w:leftChars="0" w:right="0" w:firstLine="640" w:firstLineChars="200"/>
        <w:jc w:val="both"/>
        <w:textAlignment w:val="auto"/>
        <w:outlineLvl w:val="9"/>
        <w:rPr>
          <w:b w:val="0"/>
          <w:bCs w:val="0"/>
          <w:color w:val="auto"/>
          <w:sz w:val="32"/>
          <w:szCs w:val="32"/>
        </w:rPr>
      </w:pPr>
      <w:r>
        <w:rPr>
          <w:rFonts w:hint="eastAsia" w:ascii="楷体_GB2312" w:eastAsia="楷体_GB2312" w:cs="楷体_GB2312"/>
          <w:b w:val="0"/>
          <w:bCs w:val="0"/>
          <w:color w:val="auto"/>
          <w:sz w:val="32"/>
          <w:szCs w:val="32"/>
        </w:rPr>
        <w:t>（二）政府性基金收支决算</w:t>
      </w:r>
    </w:p>
    <w:p>
      <w:pPr>
        <w:keepNext w:val="0"/>
        <w:keepLines w:val="0"/>
        <w:pageBreakBefore w:val="0"/>
        <w:widowControl w:val="0"/>
        <w:kinsoku/>
        <w:wordWrap/>
        <w:overflowPunct/>
        <w:topLinePunct w:val="0"/>
        <w:autoSpaceDE/>
        <w:autoSpaceDN/>
        <w:bidi w:val="0"/>
        <w:adjustRightInd/>
        <w:snapToGrid w:val="0"/>
        <w:spacing w:line="560" w:lineRule="exact"/>
        <w:ind w:left="0" w:leftChars="0" w:right="0" w:firstLine="640" w:firstLineChars="200"/>
        <w:jc w:val="both"/>
        <w:textAlignment w:val="auto"/>
        <w:outlineLvl w:val="9"/>
        <w:rPr>
          <w:rFonts w:hint="eastAsia" w:ascii="仿宋_GB2312" w:eastAsia="仿宋_GB2312" w:cs="仿宋_GB2312"/>
          <w:color w:val="auto"/>
          <w:sz w:val="32"/>
          <w:szCs w:val="32"/>
          <w:lang w:val="en-US" w:eastAsia="zh-CN"/>
        </w:rPr>
      </w:pPr>
      <w:r>
        <w:rPr>
          <w:rFonts w:hint="eastAsia" w:ascii="仿宋_GB2312" w:eastAsia="仿宋_GB2312" w:cs="仿宋_GB2312"/>
          <w:color w:val="auto"/>
          <w:sz w:val="32"/>
          <w:szCs w:val="32"/>
          <w:lang w:val="en-US" w:eastAsia="zh-CN"/>
        </w:rPr>
        <w:t>区级政府性基金收入448万元，上级补助收入23419万元，债务转贷收入44400万元，上年结余收入40047万元，</w:t>
      </w:r>
      <w:r>
        <w:rPr>
          <w:rFonts w:hint="eastAsia" w:ascii="仿宋_GB2312" w:eastAsia="仿宋_GB2312" w:cs="仿宋_GB2312"/>
          <w:color w:val="auto"/>
          <w:sz w:val="32"/>
          <w:szCs w:val="32"/>
        </w:rPr>
        <w:t>全年政府性基金收入</w:t>
      </w:r>
      <w:r>
        <w:rPr>
          <w:rFonts w:hint="eastAsia" w:ascii="仿宋_GB2312" w:eastAsia="仿宋_GB2312" w:cs="仿宋_GB2312"/>
          <w:color w:val="auto"/>
          <w:sz w:val="32"/>
          <w:szCs w:val="32"/>
          <w:lang w:eastAsia="zh-CN"/>
        </w:rPr>
        <w:t>合计</w:t>
      </w:r>
      <w:r>
        <w:rPr>
          <w:rFonts w:hint="eastAsia" w:ascii="仿宋_GB2312" w:eastAsia="仿宋_GB2312" w:cs="仿宋_GB2312"/>
          <w:color w:val="auto"/>
          <w:sz w:val="32"/>
          <w:szCs w:val="32"/>
          <w:lang w:val="en-US" w:eastAsia="zh-CN"/>
        </w:rPr>
        <w:t>108314万</w:t>
      </w:r>
      <w:r>
        <w:rPr>
          <w:rFonts w:hint="eastAsia" w:ascii="仿宋_GB2312" w:eastAsia="仿宋_GB2312" w:cs="仿宋_GB2312"/>
          <w:color w:val="auto"/>
          <w:sz w:val="32"/>
          <w:szCs w:val="32"/>
        </w:rPr>
        <w:t>元</w:t>
      </w:r>
      <w:r>
        <w:rPr>
          <w:rFonts w:hint="eastAsia" w:ascii="仿宋_GB2312" w:eastAsia="仿宋_GB2312" w:cs="仿宋_GB2312"/>
          <w:color w:val="auto"/>
          <w:sz w:val="32"/>
          <w:szCs w:val="32"/>
          <w:lang w:val="en-US" w:eastAsia="zh-CN"/>
        </w:rPr>
        <w:t>。</w:t>
      </w:r>
    </w:p>
    <w:p>
      <w:pPr>
        <w:keepNext w:val="0"/>
        <w:keepLines w:val="0"/>
        <w:pageBreakBefore w:val="0"/>
        <w:widowControl w:val="0"/>
        <w:kinsoku/>
        <w:wordWrap/>
        <w:overflowPunct/>
        <w:topLinePunct w:val="0"/>
        <w:autoSpaceDE/>
        <w:autoSpaceDN/>
        <w:bidi w:val="0"/>
        <w:adjustRightInd/>
        <w:snapToGrid w:val="0"/>
        <w:spacing w:line="560" w:lineRule="exact"/>
        <w:ind w:left="0" w:leftChars="0" w:right="0" w:firstLine="640" w:firstLineChars="200"/>
        <w:jc w:val="both"/>
        <w:textAlignment w:val="auto"/>
        <w:outlineLvl w:val="9"/>
        <w:rPr>
          <w:rFonts w:hint="eastAsia" w:ascii="仿宋_GB2312" w:eastAsia="仿宋_GB2312" w:cs="仿宋_GB2312"/>
          <w:color w:val="auto"/>
          <w:sz w:val="32"/>
          <w:szCs w:val="32"/>
        </w:rPr>
      </w:pPr>
      <w:r>
        <w:rPr>
          <w:rFonts w:hint="eastAsia" w:ascii="仿宋_GB2312" w:eastAsia="仿宋_GB2312" w:cs="仿宋_GB2312"/>
          <w:color w:val="auto"/>
          <w:sz w:val="32"/>
          <w:szCs w:val="32"/>
          <w:lang w:val="en-US" w:eastAsia="zh-CN"/>
        </w:rPr>
        <w:t>区本级政府性基金支出49439</w:t>
      </w:r>
      <w:r>
        <w:rPr>
          <w:rFonts w:hint="eastAsia" w:ascii="仿宋_GB2312" w:eastAsia="仿宋_GB2312" w:cs="仿宋_GB2312"/>
          <w:color w:val="auto"/>
          <w:sz w:val="32"/>
          <w:szCs w:val="32"/>
        </w:rPr>
        <w:t>万元，为</w:t>
      </w:r>
      <w:r>
        <w:rPr>
          <w:rFonts w:hint="eastAsia" w:ascii="仿宋_GB2312" w:eastAsia="仿宋_GB2312" w:cs="仿宋_GB2312"/>
          <w:color w:val="auto"/>
          <w:sz w:val="32"/>
          <w:szCs w:val="32"/>
          <w:lang w:val="en-US" w:eastAsia="zh-CN"/>
        </w:rPr>
        <w:t>调整</w:t>
      </w:r>
      <w:r>
        <w:rPr>
          <w:rFonts w:hint="eastAsia" w:ascii="仿宋_GB2312" w:eastAsia="仿宋_GB2312" w:cs="仿宋_GB2312"/>
          <w:color w:val="auto"/>
          <w:sz w:val="32"/>
          <w:szCs w:val="32"/>
        </w:rPr>
        <w:t>预算的</w:t>
      </w:r>
      <w:r>
        <w:rPr>
          <w:rFonts w:hint="eastAsia" w:ascii="仿宋_GB2312" w:eastAsia="仿宋_GB2312" w:cs="仿宋_GB2312"/>
          <w:color w:val="auto"/>
          <w:sz w:val="32"/>
          <w:szCs w:val="32"/>
          <w:lang w:val="en-US" w:eastAsia="zh-CN"/>
        </w:rPr>
        <w:t>50</w:t>
      </w:r>
      <w:r>
        <w:rPr>
          <w:rFonts w:hint="eastAsia" w:ascii="仿宋_GB2312" w:eastAsia="仿宋_GB2312" w:cs="仿宋_GB2312"/>
          <w:color w:val="auto"/>
          <w:sz w:val="32"/>
          <w:szCs w:val="32"/>
        </w:rPr>
        <w:t>%</w:t>
      </w:r>
      <w:r>
        <w:rPr>
          <w:rFonts w:hint="eastAsia" w:ascii="仿宋_GB2312" w:eastAsia="仿宋_GB2312" w:cs="仿宋_GB2312"/>
          <w:color w:val="auto"/>
          <w:sz w:val="32"/>
          <w:szCs w:val="32"/>
          <w:lang w:eastAsia="zh-CN"/>
        </w:rPr>
        <w:t>，</w:t>
      </w:r>
      <w:r>
        <w:rPr>
          <w:rFonts w:hint="eastAsia" w:ascii="仿宋_GB2312" w:eastAsia="仿宋_GB2312" w:cs="仿宋_GB2312"/>
          <w:color w:val="auto"/>
          <w:sz w:val="32"/>
          <w:szCs w:val="32"/>
          <w:lang w:val="en-US" w:eastAsia="zh-CN"/>
        </w:rPr>
        <w:t>同比下降55.2%，减支60838万元</w:t>
      </w:r>
      <w:r>
        <w:rPr>
          <w:rFonts w:hint="eastAsia" w:ascii="仿宋_GB2312" w:eastAsia="仿宋_GB2312" w:cs="仿宋_GB2312"/>
          <w:color w:val="auto"/>
          <w:sz w:val="32"/>
          <w:szCs w:val="32"/>
        </w:rPr>
        <w:t>；</w:t>
      </w:r>
      <w:r>
        <w:rPr>
          <w:rFonts w:hint="eastAsia" w:ascii="仿宋_GB2312" w:eastAsia="仿宋_GB2312" w:cs="仿宋_GB2312"/>
          <w:color w:val="auto"/>
          <w:sz w:val="32"/>
          <w:szCs w:val="32"/>
          <w:lang w:val="en-US" w:eastAsia="zh-CN"/>
        </w:rPr>
        <w:t>上解上级支出44万元；调出资金9000万元转入一般公共预算；债务还本支出469万元；全年</w:t>
      </w:r>
      <w:r>
        <w:rPr>
          <w:rFonts w:hint="eastAsia" w:ascii="仿宋_GB2312" w:eastAsia="仿宋_GB2312" w:cs="仿宋_GB2312"/>
          <w:color w:val="auto"/>
          <w:sz w:val="32"/>
          <w:szCs w:val="32"/>
        </w:rPr>
        <w:t>政府性基金支出</w:t>
      </w:r>
      <w:r>
        <w:rPr>
          <w:rFonts w:hint="eastAsia" w:ascii="仿宋_GB2312" w:eastAsia="仿宋_GB2312" w:cs="仿宋_GB2312"/>
          <w:color w:val="auto"/>
          <w:sz w:val="32"/>
          <w:szCs w:val="32"/>
          <w:lang w:eastAsia="zh-CN"/>
        </w:rPr>
        <w:t>合计</w:t>
      </w:r>
      <w:r>
        <w:rPr>
          <w:rFonts w:hint="eastAsia" w:ascii="仿宋_GB2312" w:eastAsia="仿宋_GB2312" w:cs="仿宋_GB2312"/>
          <w:color w:val="auto"/>
          <w:sz w:val="32"/>
          <w:szCs w:val="32"/>
          <w:lang w:val="en-US" w:eastAsia="zh-CN"/>
        </w:rPr>
        <w:t>58952万元</w:t>
      </w:r>
      <w:r>
        <w:rPr>
          <w:rFonts w:hint="eastAsia" w:ascii="仿宋_GB2312" w:eastAsia="仿宋_GB2312" w:cs="仿宋_GB2312"/>
          <w:color w:val="auto"/>
          <w:sz w:val="32"/>
          <w:szCs w:val="32"/>
        </w:rPr>
        <w:t>。</w:t>
      </w:r>
    </w:p>
    <w:p>
      <w:pPr>
        <w:keepNext w:val="0"/>
        <w:keepLines w:val="0"/>
        <w:pageBreakBefore w:val="0"/>
        <w:widowControl w:val="0"/>
        <w:kinsoku/>
        <w:wordWrap/>
        <w:overflowPunct/>
        <w:topLinePunct w:val="0"/>
        <w:autoSpaceDE/>
        <w:autoSpaceDN/>
        <w:bidi w:val="0"/>
        <w:adjustRightInd/>
        <w:snapToGrid w:val="0"/>
        <w:spacing w:line="560" w:lineRule="exact"/>
        <w:ind w:left="0" w:leftChars="0" w:right="0" w:firstLine="640" w:firstLineChars="200"/>
        <w:jc w:val="both"/>
        <w:textAlignment w:val="auto"/>
        <w:outlineLvl w:val="9"/>
        <w:rPr>
          <w:rFonts w:hint="eastAsia" w:ascii="仿宋_GB2312" w:eastAsia="仿宋_GB2312" w:cs="仿宋_GB2312"/>
          <w:color w:val="auto"/>
          <w:sz w:val="32"/>
          <w:szCs w:val="32"/>
        </w:rPr>
      </w:pPr>
      <w:r>
        <w:rPr>
          <w:rFonts w:hint="eastAsia" w:ascii="仿宋_GB2312" w:eastAsia="仿宋_GB2312" w:cs="仿宋_GB2312"/>
          <w:color w:val="auto"/>
          <w:sz w:val="32"/>
          <w:szCs w:val="32"/>
          <w:lang w:val="en-US" w:eastAsia="zh-CN"/>
        </w:rPr>
        <w:t>收支相抵，年终结余49362万元，按规定结转下年使用。</w:t>
      </w:r>
    </w:p>
    <w:p>
      <w:pPr>
        <w:keepNext w:val="0"/>
        <w:keepLines w:val="0"/>
        <w:pageBreakBefore w:val="0"/>
        <w:widowControl w:val="0"/>
        <w:numPr>
          <w:ilvl w:val="0"/>
          <w:numId w:val="1"/>
        </w:numPr>
        <w:kinsoku/>
        <w:wordWrap/>
        <w:overflowPunct/>
        <w:topLinePunct w:val="0"/>
        <w:autoSpaceDE/>
        <w:autoSpaceDN/>
        <w:bidi w:val="0"/>
        <w:adjustRightInd/>
        <w:snapToGrid w:val="0"/>
        <w:spacing w:line="560" w:lineRule="exact"/>
        <w:ind w:left="0" w:leftChars="0" w:right="0" w:firstLine="640" w:firstLineChars="200"/>
        <w:jc w:val="both"/>
        <w:textAlignment w:val="auto"/>
        <w:outlineLvl w:val="9"/>
        <w:rPr>
          <w:rFonts w:hint="eastAsia" w:ascii="楷体_GB2312" w:hAnsi="楷体_GB2312" w:eastAsia="楷体_GB2312" w:cs="楷体_GB2312"/>
          <w:b w:val="0"/>
          <w:bCs w:val="0"/>
          <w:color w:val="auto"/>
          <w:sz w:val="32"/>
          <w:szCs w:val="32"/>
          <w:lang w:eastAsia="zh-CN"/>
        </w:rPr>
      </w:pPr>
      <w:r>
        <w:rPr>
          <w:rFonts w:hint="eastAsia" w:ascii="楷体_GB2312" w:hAnsi="楷体_GB2312" w:eastAsia="楷体_GB2312" w:cs="楷体_GB2312"/>
          <w:b w:val="0"/>
          <w:bCs w:val="0"/>
          <w:color w:val="auto"/>
          <w:sz w:val="32"/>
          <w:szCs w:val="32"/>
          <w:lang w:eastAsia="zh-CN"/>
        </w:rPr>
        <w:t>国有资本经营收支决算</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color w:val="auto"/>
          <w:sz w:val="32"/>
          <w:szCs w:val="32"/>
          <w:u w:val="none"/>
          <w:lang w:eastAsia="zh-CN"/>
        </w:rPr>
      </w:pPr>
      <w:r>
        <w:rPr>
          <w:rFonts w:hint="eastAsia" w:ascii="仿宋_GB2312" w:hAnsi="仿宋_GB2312" w:eastAsia="仿宋_GB2312" w:cs="仿宋_GB2312"/>
          <w:color w:val="auto"/>
          <w:sz w:val="32"/>
          <w:szCs w:val="32"/>
          <w:u w:val="none"/>
        </w:rPr>
        <w:t>国有资本经营收入预算为</w:t>
      </w:r>
      <w:r>
        <w:rPr>
          <w:rFonts w:hint="eastAsia" w:ascii="仿宋_GB2312" w:hAnsi="仿宋_GB2312" w:eastAsia="仿宋_GB2312" w:cs="仿宋_GB2312"/>
          <w:color w:val="auto"/>
          <w:sz w:val="32"/>
          <w:szCs w:val="32"/>
          <w:u w:val="none"/>
          <w:lang w:val="en-US" w:eastAsia="zh-CN"/>
        </w:rPr>
        <w:t>42</w:t>
      </w:r>
      <w:r>
        <w:rPr>
          <w:rFonts w:hint="eastAsia" w:ascii="仿宋_GB2312" w:hAnsi="仿宋_GB2312" w:eastAsia="仿宋_GB2312" w:cs="仿宋_GB2312"/>
          <w:color w:val="auto"/>
          <w:sz w:val="32"/>
          <w:szCs w:val="32"/>
          <w:u w:val="none"/>
        </w:rPr>
        <w:t>万元，实际完成</w:t>
      </w:r>
      <w:r>
        <w:rPr>
          <w:rFonts w:hint="eastAsia" w:ascii="仿宋_GB2312" w:hAnsi="仿宋_GB2312" w:eastAsia="仿宋_GB2312" w:cs="仿宋_GB2312"/>
          <w:color w:val="auto"/>
          <w:sz w:val="32"/>
          <w:szCs w:val="32"/>
          <w:u w:val="none"/>
          <w:lang w:val="en-US" w:eastAsia="zh-CN"/>
        </w:rPr>
        <w:t>166</w:t>
      </w:r>
      <w:r>
        <w:rPr>
          <w:rFonts w:hint="eastAsia" w:ascii="仿宋_GB2312" w:hAnsi="仿宋_GB2312" w:eastAsia="仿宋_GB2312" w:cs="仿宋_GB2312"/>
          <w:color w:val="auto"/>
          <w:sz w:val="32"/>
          <w:szCs w:val="32"/>
          <w:u w:val="none"/>
        </w:rPr>
        <w:t>万元</w:t>
      </w:r>
      <w:r>
        <w:rPr>
          <w:rFonts w:hint="eastAsia" w:ascii="仿宋_GB2312" w:hAnsi="仿宋_GB2312" w:eastAsia="仿宋_GB2312" w:cs="仿宋_GB2312"/>
          <w:color w:val="auto"/>
          <w:sz w:val="32"/>
          <w:szCs w:val="32"/>
          <w:u w:val="none"/>
          <w:lang w:eastAsia="zh-CN"/>
        </w:rPr>
        <w:t>。</w:t>
      </w:r>
    </w:p>
    <w:p>
      <w:pPr>
        <w:keepNext w:val="0"/>
        <w:keepLines w:val="0"/>
        <w:pageBreakBefore w:val="0"/>
        <w:widowControl w:val="0"/>
        <w:kinsoku/>
        <w:wordWrap/>
        <w:overflowPunct/>
        <w:topLinePunct w:val="0"/>
        <w:autoSpaceDE/>
        <w:autoSpaceDN/>
        <w:bidi w:val="0"/>
        <w:adjustRightInd/>
        <w:snapToGrid w:val="0"/>
        <w:spacing w:line="560" w:lineRule="exact"/>
        <w:ind w:left="0" w:leftChars="0" w:right="0" w:firstLine="640" w:firstLineChars="200"/>
        <w:jc w:val="both"/>
        <w:textAlignment w:val="auto"/>
        <w:outlineLvl w:val="9"/>
        <w:rPr>
          <w:rFonts w:hint="eastAsia" w:ascii="楷体_GB2312" w:eastAsia="楷体_GB2312" w:cs="楷体_GB2312"/>
          <w:b w:val="0"/>
          <w:bCs w:val="0"/>
          <w:color w:val="auto"/>
          <w:sz w:val="32"/>
          <w:szCs w:val="32"/>
        </w:rPr>
      </w:pPr>
      <w:r>
        <w:rPr>
          <w:rFonts w:hint="eastAsia" w:ascii="楷体_GB2312" w:eastAsia="楷体_GB2312" w:cs="楷体_GB2312"/>
          <w:b w:val="0"/>
          <w:bCs w:val="0"/>
          <w:color w:val="auto"/>
          <w:sz w:val="32"/>
          <w:szCs w:val="32"/>
          <w:lang w:eastAsia="zh-CN"/>
        </w:rPr>
        <w:t>（四）</w:t>
      </w:r>
      <w:r>
        <w:rPr>
          <w:rFonts w:hint="eastAsia" w:ascii="楷体_GB2312" w:eastAsia="楷体_GB2312" w:cs="楷体_GB2312"/>
          <w:b w:val="0"/>
          <w:bCs w:val="0"/>
          <w:color w:val="auto"/>
          <w:sz w:val="32"/>
          <w:szCs w:val="32"/>
        </w:rPr>
        <w:t>社会保险基金收支决算</w:t>
      </w:r>
    </w:p>
    <w:p>
      <w:pPr>
        <w:keepNext w:val="0"/>
        <w:keepLines w:val="0"/>
        <w:pageBreakBefore w:val="0"/>
        <w:widowControl w:val="0"/>
        <w:kinsoku/>
        <w:wordWrap/>
        <w:overflowPunct/>
        <w:topLinePunct w:val="0"/>
        <w:autoSpaceDE/>
        <w:autoSpaceDN/>
        <w:bidi w:val="0"/>
        <w:adjustRightInd/>
        <w:snapToGrid w:val="0"/>
        <w:spacing w:line="560" w:lineRule="exact"/>
        <w:ind w:left="0" w:leftChars="0" w:right="0" w:firstLine="640" w:firstLineChars="200"/>
        <w:jc w:val="both"/>
        <w:textAlignment w:val="auto"/>
        <w:outlineLvl w:val="9"/>
        <w:rPr>
          <w:rFonts w:hint="eastAsia" w:ascii="仿宋_GB2312" w:eastAsia="仿宋_GB2312" w:cs="仿宋_GB2312"/>
          <w:color w:val="auto"/>
          <w:sz w:val="32"/>
          <w:szCs w:val="32"/>
        </w:rPr>
      </w:pPr>
      <w:r>
        <w:rPr>
          <w:rFonts w:hint="eastAsia" w:ascii="仿宋_GB2312" w:eastAsia="仿宋_GB2312" w:cs="仿宋_GB2312"/>
          <w:color w:val="auto"/>
          <w:sz w:val="32"/>
          <w:szCs w:val="32"/>
        </w:rPr>
        <w:t>社会保险基金收入完成</w:t>
      </w:r>
      <w:r>
        <w:rPr>
          <w:rFonts w:hint="eastAsia" w:ascii="仿宋_GB2312" w:eastAsia="仿宋_GB2312" w:cs="仿宋_GB2312"/>
          <w:color w:val="auto"/>
          <w:sz w:val="32"/>
          <w:szCs w:val="32"/>
          <w:lang w:val="en-US" w:eastAsia="zh-CN"/>
        </w:rPr>
        <w:t>46264万</w:t>
      </w:r>
      <w:r>
        <w:rPr>
          <w:rFonts w:hint="eastAsia" w:ascii="仿宋_GB2312" w:eastAsia="仿宋_GB2312" w:cs="仿宋_GB2312"/>
          <w:color w:val="auto"/>
          <w:sz w:val="32"/>
          <w:szCs w:val="32"/>
        </w:rPr>
        <w:t>元，为预算的</w:t>
      </w:r>
      <w:r>
        <w:rPr>
          <w:rFonts w:hint="eastAsia" w:ascii="仿宋_GB2312" w:eastAsia="仿宋_GB2312" w:cs="仿宋_GB2312"/>
          <w:color w:val="auto"/>
          <w:sz w:val="32"/>
          <w:szCs w:val="32"/>
          <w:lang w:val="en-US" w:eastAsia="zh-CN"/>
        </w:rPr>
        <w:t>99.3</w:t>
      </w:r>
      <w:r>
        <w:rPr>
          <w:rFonts w:hint="eastAsia" w:ascii="仿宋_GB2312" w:eastAsia="仿宋_GB2312" w:cs="仿宋_GB2312"/>
          <w:color w:val="auto"/>
          <w:sz w:val="32"/>
          <w:szCs w:val="32"/>
        </w:rPr>
        <w:t>%。支出完成</w:t>
      </w:r>
      <w:r>
        <w:rPr>
          <w:rFonts w:hint="eastAsia" w:ascii="仿宋_GB2312" w:eastAsia="仿宋_GB2312" w:cs="仿宋_GB2312"/>
          <w:color w:val="auto"/>
          <w:sz w:val="32"/>
          <w:szCs w:val="32"/>
          <w:lang w:val="en-US" w:eastAsia="zh-CN"/>
        </w:rPr>
        <w:t>50768万</w:t>
      </w:r>
      <w:r>
        <w:rPr>
          <w:rFonts w:hint="eastAsia" w:ascii="仿宋_GB2312" w:eastAsia="仿宋_GB2312" w:cs="仿宋_GB2312"/>
          <w:color w:val="auto"/>
          <w:sz w:val="32"/>
          <w:szCs w:val="32"/>
        </w:rPr>
        <w:t>元，为预算的</w:t>
      </w:r>
      <w:r>
        <w:rPr>
          <w:rFonts w:hint="eastAsia" w:ascii="仿宋_GB2312" w:eastAsia="仿宋_GB2312" w:cs="仿宋_GB2312"/>
          <w:color w:val="auto"/>
          <w:sz w:val="32"/>
          <w:szCs w:val="32"/>
          <w:lang w:val="en-US" w:eastAsia="zh-CN"/>
        </w:rPr>
        <w:t>116.3</w:t>
      </w:r>
      <w:r>
        <w:rPr>
          <w:rFonts w:hint="eastAsia" w:ascii="仿宋_GB2312" w:eastAsia="仿宋_GB2312" w:cs="仿宋_GB2312"/>
          <w:color w:val="auto"/>
          <w:sz w:val="32"/>
          <w:szCs w:val="32"/>
        </w:rPr>
        <w:t>%。其中：</w:t>
      </w:r>
    </w:p>
    <w:p>
      <w:pPr>
        <w:keepNext w:val="0"/>
        <w:keepLines w:val="0"/>
        <w:pageBreakBefore w:val="0"/>
        <w:widowControl w:val="0"/>
        <w:kinsoku/>
        <w:wordWrap/>
        <w:overflowPunct/>
        <w:topLinePunct w:val="0"/>
        <w:autoSpaceDE/>
        <w:autoSpaceDN/>
        <w:bidi w:val="0"/>
        <w:adjustRightInd/>
        <w:snapToGrid w:val="0"/>
        <w:spacing w:line="560" w:lineRule="exact"/>
        <w:ind w:left="0" w:leftChars="0" w:right="0" w:firstLine="640" w:firstLineChars="200"/>
        <w:jc w:val="both"/>
        <w:textAlignment w:val="auto"/>
        <w:outlineLvl w:val="9"/>
        <w:rPr>
          <w:rFonts w:hint="eastAsia" w:ascii="仿宋_GB2312" w:eastAsia="仿宋_GB2312" w:cs="仿宋_GB2312"/>
          <w:color w:val="auto"/>
          <w:sz w:val="32"/>
          <w:szCs w:val="32"/>
        </w:rPr>
      </w:pPr>
      <w:r>
        <w:rPr>
          <w:rFonts w:hint="eastAsia" w:ascii="仿宋_GB2312" w:eastAsia="仿宋_GB2312" w:cs="仿宋_GB2312"/>
          <w:color w:val="auto"/>
          <w:sz w:val="32"/>
          <w:szCs w:val="32"/>
        </w:rPr>
        <w:t>●城乡居民基本养老保险基金收入</w:t>
      </w:r>
      <w:r>
        <w:rPr>
          <w:rFonts w:hint="eastAsia" w:ascii="仿宋_GB2312" w:eastAsia="仿宋_GB2312" w:cs="仿宋_GB2312"/>
          <w:color w:val="auto"/>
          <w:sz w:val="32"/>
          <w:szCs w:val="32"/>
          <w:lang w:val="en-US" w:eastAsia="zh-CN"/>
        </w:rPr>
        <w:t>1972</w:t>
      </w:r>
      <w:r>
        <w:rPr>
          <w:rFonts w:hint="eastAsia" w:ascii="仿宋_GB2312" w:eastAsia="仿宋_GB2312" w:cs="仿宋_GB2312"/>
          <w:color w:val="auto"/>
          <w:sz w:val="32"/>
          <w:szCs w:val="32"/>
        </w:rPr>
        <w:t>元，支出</w:t>
      </w:r>
      <w:r>
        <w:rPr>
          <w:rFonts w:hint="eastAsia" w:ascii="仿宋_GB2312" w:eastAsia="仿宋_GB2312" w:cs="仿宋_GB2312"/>
          <w:color w:val="auto"/>
          <w:sz w:val="32"/>
          <w:szCs w:val="32"/>
          <w:lang w:val="en-US" w:eastAsia="zh-CN"/>
        </w:rPr>
        <w:t>2302</w:t>
      </w:r>
      <w:r>
        <w:rPr>
          <w:rFonts w:hint="eastAsia" w:ascii="仿宋_GB2312" w:eastAsia="仿宋_GB2312" w:cs="仿宋_GB2312"/>
          <w:color w:val="auto"/>
          <w:sz w:val="32"/>
          <w:szCs w:val="32"/>
        </w:rPr>
        <w:t>万元；</w:t>
      </w:r>
    </w:p>
    <w:p>
      <w:pPr>
        <w:keepNext w:val="0"/>
        <w:keepLines w:val="0"/>
        <w:pageBreakBefore w:val="0"/>
        <w:widowControl w:val="0"/>
        <w:kinsoku/>
        <w:wordWrap/>
        <w:overflowPunct/>
        <w:topLinePunct w:val="0"/>
        <w:autoSpaceDE/>
        <w:autoSpaceDN/>
        <w:bidi w:val="0"/>
        <w:adjustRightInd/>
        <w:snapToGrid w:val="0"/>
        <w:spacing w:line="560" w:lineRule="exact"/>
        <w:ind w:left="0" w:leftChars="0" w:right="0" w:firstLine="640" w:firstLineChars="200"/>
        <w:jc w:val="both"/>
        <w:textAlignment w:val="auto"/>
        <w:outlineLvl w:val="9"/>
        <w:rPr>
          <w:rFonts w:hint="eastAsia" w:ascii="仿宋_GB2312" w:eastAsia="仿宋_GB2312" w:cs="仿宋_GB2312"/>
          <w:color w:val="auto"/>
          <w:sz w:val="32"/>
          <w:szCs w:val="32"/>
        </w:rPr>
      </w:pPr>
      <w:r>
        <w:rPr>
          <w:rFonts w:hint="eastAsia" w:ascii="仿宋_GB2312" w:eastAsia="仿宋_GB2312" w:cs="仿宋_GB2312"/>
          <w:color w:val="auto"/>
          <w:sz w:val="32"/>
          <w:szCs w:val="32"/>
        </w:rPr>
        <w:t>●城镇职工基本医疗保险基金收入</w:t>
      </w:r>
      <w:r>
        <w:rPr>
          <w:rFonts w:hint="eastAsia" w:ascii="仿宋_GB2312" w:eastAsia="仿宋_GB2312" w:cs="仿宋_GB2312"/>
          <w:color w:val="auto"/>
          <w:sz w:val="32"/>
          <w:szCs w:val="32"/>
          <w:lang w:val="en-US" w:eastAsia="zh-CN"/>
        </w:rPr>
        <w:t>8984</w:t>
      </w:r>
      <w:r>
        <w:rPr>
          <w:rFonts w:hint="eastAsia" w:ascii="仿宋_GB2312" w:eastAsia="仿宋_GB2312" w:cs="仿宋_GB2312"/>
          <w:color w:val="auto"/>
          <w:sz w:val="32"/>
          <w:szCs w:val="32"/>
        </w:rPr>
        <w:t>万元，支出</w:t>
      </w:r>
      <w:r>
        <w:rPr>
          <w:rFonts w:hint="eastAsia" w:ascii="仿宋_GB2312" w:eastAsia="仿宋_GB2312" w:cs="仿宋_GB2312"/>
          <w:color w:val="auto"/>
          <w:sz w:val="32"/>
          <w:szCs w:val="32"/>
          <w:lang w:val="en-US" w:eastAsia="zh-CN"/>
        </w:rPr>
        <w:t>11071</w:t>
      </w:r>
      <w:r>
        <w:rPr>
          <w:rFonts w:hint="eastAsia" w:ascii="仿宋_GB2312" w:eastAsia="仿宋_GB2312" w:cs="仿宋_GB2312"/>
          <w:color w:val="auto"/>
          <w:sz w:val="32"/>
          <w:szCs w:val="32"/>
        </w:rPr>
        <w:t>万元；</w:t>
      </w:r>
    </w:p>
    <w:p>
      <w:pPr>
        <w:keepNext w:val="0"/>
        <w:keepLines w:val="0"/>
        <w:pageBreakBefore w:val="0"/>
        <w:widowControl w:val="0"/>
        <w:kinsoku/>
        <w:wordWrap/>
        <w:overflowPunct/>
        <w:topLinePunct w:val="0"/>
        <w:autoSpaceDE/>
        <w:autoSpaceDN/>
        <w:bidi w:val="0"/>
        <w:adjustRightInd/>
        <w:snapToGrid w:val="0"/>
        <w:spacing w:line="560" w:lineRule="exact"/>
        <w:ind w:left="0" w:leftChars="0" w:right="0" w:firstLine="640" w:firstLineChars="200"/>
        <w:jc w:val="both"/>
        <w:textAlignment w:val="auto"/>
        <w:outlineLvl w:val="9"/>
        <w:rPr>
          <w:rFonts w:hint="eastAsia" w:ascii="仿宋_GB2312" w:eastAsia="仿宋_GB2312" w:cs="仿宋_GB2312"/>
          <w:color w:val="auto"/>
          <w:sz w:val="32"/>
          <w:szCs w:val="32"/>
        </w:rPr>
      </w:pPr>
      <w:r>
        <w:rPr>
          <w:rFonts w:hint="eastAsia" w:ascii="仿宋_GB2312" w:eastAsia="仿宋_GB2312" w:cs="仿宋_GB2312"/>
          <w:color w:val="auto"/>
          <w:sz w:val="32"/>
          <w:szCs w:val="32"/>
        </w:rPr>
        <w:t>●</w:t>
      </w:r>
      <w:r>
        <w:rPr>
          <w:rFonts w:hint="eastAsia" w:ascii="仿宋_GB2312" w:eastAsia="仿宋_GB2312" w:cs="仿宋_GB2312"/>
          <w:color w:val="auto"/>
          <w:sz w:val="32"/>
          <w:szCs w:val="32"/>
          <w:lang w:val="en-US" w:eastAsia="zh-CN"/>
        </w:rPr>
        <w:t>城乡居民</w:t>
      </w:r>
      <w:r>
        <w:rPr>
          <w:rFonts w:hint="eastAsia" w:ascii="仿宋_GB2312" w:eastAsia="仿宋_GB2312" w:cs="仿宋_GB2312"/>
          <w:color w:val="auto"/>
          <w:sz w:val="32"/>
          <w:szCs w:val="32"/>
        </w:rPr>
        <w:t>医疗</w:t>
      </w:r>
      <w:r>
        <w:rPr>
          <w:rFonts w:hint="eastAsia" w:ascii="仿宋_GB2312" w:eastAsia="仿宋_GB2312" w:cs="仿宋_GB2312"/>
          <w:color w:val="auto"/>
          <w:sz w:val="32"/>
          <w:szCs w:val="32"/>
          <w:lang w:val="en-US" w:eastAsia="zh-CN"/>
        </w:rPr>
        <w:t>保险</w:t>
      </w:r>
      <w:r>
        <w:rPr>
          <w:rFonts w:hint="eastAsia" w:ascii="仿宋_GB2312" w:eastAsia="仿宋_GB2312" w:cs="仿宋_GB2312"/>
          <w:color w:val="auto"/>
          <w:sz w:val="32"/>
          <w:szCs w:val="32"/>
        </w:rPr>
        <w:t>基金收入</w:t>
      </w:r>
      <w:r>
        <w:rPr>
          <w:rFonts w:hint="eastAsia" w:ascii="仿宋_GB2312" w:eastAsia="仿宋_GB2312" w:cs="仿宋_GB2312"/>
          <w:color w:val="auto"/>
          <w:sz w:val="32"/>
          <w:szCs w:val="32"/>
          <w:lang w:val="en-US" w:eastAsia="zh-CN"/>
        </w:rPr>
        <w:t>19316</w:t>
      </w:r>
      <w:r>
        <w:rPr>
          <w:rFonts w:hint="eastAsia" w:ascii="仿宋_GB2312" w:eastAsia="仿宋_GB2312" w:cs="仿宋_GB2312"/>
          <w:color w:val="auto"/>
          <w:sz w:val="32"/>
          <w:szCs w:val="32"/>
        </w:rPr>
        <w:t>万元，支出</w:t>
      </w:r>
      <w:r>
        <w:rPr>
          <w:rFonts w:hint="eastAsia" w:ascii="仿宋_GB2312" w:eastAsia="仿宋_GB2312" w:cs="仿宋_GB2312"/>
          <w:color w:val="auto"/>
          <w:sz w:val="32"/>
          <w:szCs w:val="32"/>
          <w:lang w:val="en-US" w:eastAsia="zh-CN"/>
        </w:rPr>
        <w:t>20035</w:t>
      </w:r>
      <w:r>
        <w:rPr>
          <w:rFonts w:hint="eastAsia" w:ascii="仿宋_GB2312" w:eastAsia="仿宋_GB2312" w:cs="仿宋_GB2312"/>
          <w:color w:val="auto"/>
          <w:sz w:val="32"/>
          <w:szCs w:val="32"/>
        </w:rPr>
        <w:t>万元；</w:t>
      </w:r>
    </w:p>
    <w:p>
      <w:pPr>
        <w:keepNext w:val="0"/>
        <w:keepLines w:val="0"/>
        <w:pageBreakBefore w:val="0"/>
        <w:widowControl w:val="0"/>
        <w:kinsoku/>
        <w:wordWrap/>
        <w:overflowPunct/>
        <w:topLinePunct w:val="0"/>
        <w:autoSpaceDE/>
        <w:autoSpaceDN/>
        <w:bidi w:val="0"/>
        <w:adjustRightInd/>
        <w:snapToGrid w:val="0"/>
        <w:spacing w:line="560" w:lineRule="exact"/>
        <w:ind w:left="0" w:leftChars="0" w:right="0" w:firstLine="640" w:firstLineChars="200"/>
        <w:jc w:val="both"/>
        <w:textAlignment w:val="auto"/>
        <w:outlineLvl w:val="9"/>
        <w:rPr>
          <w:rFonts w:hint="eastAsia" w:ascii="仿宋_GB2312" w:eastAsia="仿宋_GB2312" w:cs="仿宋_GB2312"/>
          <w:color w:val="auto"/>
          <w:sz w:val="32"/>
          <w:szCs w:val="32"/>
          <w:lang w:eastAsia="zh-CN"/>
        </w:rPr>
      </w:pPr>
      <w:r>
        <w:rPr>
          <w:rFonts w:hint="eastAsia" w:ascii="仿宋_GB2312" w:eastAsia="仿宋_GB2312" w:cs="仿宋_GB2312"/>
          <w:color w:val="auto"/>
          <w:sz w:val="32"/>
          <w:szCs w:val="32"/>
        </w:rPr>
        <w:t>●</w:t>
      </w:r>
      <w:r>
        <w:rPr>
          <w:rFonts w:hint="eastAsia" w:ascii="仿宋_GB2312" w:eastAsia="仿宋_GB2312" w:cs="仿宋_GB2312"/>
          <w:color w:val="auto"/>
          <w:sz w:val="32"/>
          <w:szCs w:val="32"/>
          <w:lang w:val="en-US" w:eastAsia="zh-CN"/>
        </w:rPr>
        <w:t>机关事业单位基本养老保险</w:t>
      </w:r>
      <w:r>
        <w:rPr>
          <w:rFonts w:hint="eastAsia" w:ascii="仿宋_GB2312" w:eastAsia="仿宋_GB2312" w:cs="仿宋_GB2312"/>
          <w:color w:val="auto"/>
          <w:sz w:val="32"/>
          <w:szCs w:val="32"/>
        </w:rPr>
        <w:t>基金收入</w:t>
      </w:r>
      <w:r>
        <w:rPr>
          <w:rFonts w:hint="eastAsia" w:ascii="仿宋_GB2312" w:eastAsia="仿宋_GB2312" w:cs="仿宋_GB2312"/>
          <w:color w:val="auto"/>
          <w:sz w:val="32"/>
          <w:szCs w:val="32"/>
          <w:lang w:val="en-US" w:eastAsia="zh-CN"/>
        </w:rPr>
        <w:t>15992</w:t>
      </w:r>
      <w:r>
        <w:rPr>
          <w:rFonts w:hint="eastAsia" w:ascii="仿宋_GB2312" w:eastAsia="仿宋_GB2312" w:cs="仿宋_GB2312"/>
          <w:color w:val="auto"/>
          <w:sz w:val="32"/>
          <w:szCs w:val="32"/>
        </w:rPr>
        <w:t>万元，支出</w:t>
      </w:r>
      <w:r>
        <w:rPr>
          <w:rFonts w:hint="eastAsia" w:ascii="仿宋_GB2312" w:eastAsia="仿宋_GB2312" w:cs="仿宋_GB2312"/>
          <w:color w:val="auto"/>
          <w:sz w:val="32"/>
          <w:szCs w:val="32"/>
          <w:lang w:val="en-US" w:eastAsia="zh-CN"/>
        </w:rPr>
        <w:t>17360</w:t>
      </w:r>
      <w:r>
        <w:rPr>
          <w:rFonts w:hint="eastAsia" w:ascii="仿宋_GB2312" w:eastAsia="仿宋_GB2312" w:cs="仿宋_GB2312"/>
          <w:color w:val="auto"/>
          <w:sz w:val="32"/>
          <w:szCs w:val="32"/>
        </w:rPr>
        <w:t>万元</w:t>
      </w:r>
      <w:r>
        <w:rPr>
          <w:rFonts w:hint="eastAsia" w:ascii="仿宋_GB2312" w:eastAsia="仿宋_GB2312" w:cs="仿宋_GB2312"/>
          <w:color w:val="auto"/>
          <w:sz w:val="32"/>
          <w:szCs w:val="32"/>
          <w:lang w:eastAsia="zh-CN"/>
        </w:rPr>
        <w:t>。</w:t>
      </w:r>
    </w:p>
    <w:p>
      <w:pPr>
        <w:keepNext w:val="0"/>
        <w:keepLines w:val="0"/>
        <w:pageBreakBefore w:val="0"/>
        <w:widowControl w:val="0"/>
        <w:kinsoku/>
        <w:wordWrap/>
        <w:overflowPunct/>
        <w:topLinePunct w:val="0"/>
        <w:autoSpaceDE/>
        <w:autoSpaceDN/>
        <w:bidi w:val="0"/>
        <w:adjustRightInd/>
        <w:snapToGrid w:val="0"/>
        <w:spacing w:line="560" w:lineRule="exact"/>
        <w:ind w:left="0" w:leftChars="0" w:right="0" w:firstLine="640" w:firstLineChars="200"/>
        <w:jc w:val="both"/>
        <w:textAlignment w:val="auto"/>
        <w:outlineLvl w:val="9"/>
        <w:rPr>
          <w:rFonts w:hint="eastAsia" w:ascii="楷体_GB2312" w:eastAsia="楷体_GB2312"/>
          <w:b w:val="0"/>
          <w:bCs/>
          <w:color w:val="auto"/>
          <w:sz w:val="32"/>
          <w:szCs w:val="32"/>
          <w:lang w:val="zh-CN" w:eastAsia="zh-CN"/>
        </w:rPr>
      </w:pPr>
      <w:r>
        <w:rPr>
          <w:rFonts w:hint="eastAsia" w:ascii="楷体_GB2312" w:eastAsia="楷体_GB2312"/>
          <w:b w:val="0"/>
          <w:bCs/>
          <w:color w:val="auto"/>
          <w:sz w:val="32"/>
          <w:szCs w:val="32"/>
          <w:lang w:val="zh-CN" w:eastAsia="zh-CN"/>
        </w:rPr>
        <w:t>（五）202</w:t>
      </w:r>
      <w:r>
        <w:rPr>
          <w:rFonts w:hint="eastAsia" w:ascii="楷体_GB2312" w:eastAsia="楷体_GB2312"/>
          <w:b w:val="0"/>
          <w:bCs/>
          <w:color w:val="auto"/>
          <w:sz w:val="32"/>
          <w:szCs w:val="32"/>
          <w:lang w:val="en-US" w:eastAsia="zh-CN"/>
        </w:rPr>
        <w:t>1</w:t>
      </w:r>
      <w:r>
        <w:rPr>
          <w:rFonts w:hint="eastAsia" w:ascii="楷体_GB2312" w:eastAsia="楷体_GB2312"/>
          <w:b w:val="0"/>
          <w:bCs/>
          <w:color w:val="auto"/>
          <w:sz w:val="32"/>
          <w:szCs w:val="32"/>
          <w:lang w:val="zh-CN" w:eastAsia="zh-CN"/>
        </w:rPr>
        <w:t>年政府债务情况</w:t>
      </w:r>
    </w:p>
    <w:p>
      <w:pPr>
        <w:keepNext w:val="0"/>
        <w:keepLines w:val="0"/>
        <w:pageBreakBefore w:val="0"/>
        <w:widowControl w:val="0"/>
        <w:kinsoku/>
        <w:wordWrap/>
        <w:overflowPunct/>
        <w:topLinePunct w:val="0"/>
        <w:autoSpaceDE/>
        <w:autoSpaceDN/>
        <w:bidi w:val="0"/>
        <w:adjustRightInd/>
        <w:snapToGrid w:val="0"/>
        <w:spacing w:line="560" w:lineRule="exact"/>
        <w:ind w:left="0" w:leftChars="0" w:right="0" w:firstLine="640" w:firstLineChars="200"/>
        <w:jc w:val="both"/>
        <w:textAlignment w:val="auto"/>
        <w:outlineLvl w:val="9"/>
        <w:rPr>
          <w:rFonts w:hint="eastAsia" w:ascii="仿宋_GB2312" w:eastAsia="仿宋_GB2312" w:cs="仿宋_GB2312"/>
          <w:color w:val="auto"/>
          <w:sz w:val="32"/>
          <w:szCs w:val="32"/>
          <w:lang w:val="zh-CN" w:eastAsia="zh-CN"/>
        </w:rPr>
      </w:pPr>
      <w:r>
        <w:rPr>
          <w:rFonts w:hint="eastAsia" w:ascii="仿宋_GB2312" w:eastAsia="仿宋_GB2312" w:cs="仿宋_GB2312"/>
          <w:color w:val="auto"/>
          <w:sz w:val="32"/>
          <w:szCs w:val="32"/>
          <w:lang w:val="zh-CN" w:eastAsia="zh-CN"/>
        </w:rPr>
        <w:t>省财政厅核定我区2021年政府债务限额107300万元。截至2021年底，我区政府债务余额106536.2万元，其中：一般债务余额36836.2万元，专项债务余额69700万元。政府债务余额不超省财政厅核定的限额，全区债务规模总体可控。</w:t>
      </w:r>
    </w:p>
    <w:p>
      <w:pPr>
        <w:keepNext w:val="0"/>
        <w:keepLines w:val="0"/>
        <w:pageBreakBefore w:val="0"/>
        <w:widowControl w:val="0"/>
        <w:kinsoku/>
        <w:wordWrap/>
        <w:overflowPunct/>
        <w:topLinePunct w:val="0"/>
        <w:autoSpaceDE/>
        <w:autoSpaceDN/>
        <w:bidi w:val="0"/>
        <w:adjustRightInd/>
        <w:snapToGrid w:val="0"/>
        <w:spacing w:line="560" w:lineRule="exact"/>
        <w:ind w:left="0" w:leftChars="0" w:right="0" w:firstLine="640" w:firstLineChars="200"/>
        <w:jc w:val="both"/>
        <w:textAlignment w:val="auto"/>
        <w:outlineLvl w:val="9"/>
        <w:rPr>
          <w:rFonts w:hint="eastAsia" w:ascii="仿宋_GB2312" w:eastAsia="仿宋_GB2312" w:cs="仿宋_GB2312"/>
          <w:color w:val="auto"/>
          <w:sz w:val="32"/>
          <w:szCs w:val="32"/>
          <w:lang w:val="zh-CN" w:eastAsia="zh-CN"/>
        </w:rPr>
      </w:pPr>
      <w:r>
        <w:rPr>
          <w:rFonts w:hint="eastAsia" w:ascii="仿宋_GB2312" w:eastAsia="仿宋_GB2312" w:cs="仿宋_GB2312"/>
          <w:color w:val="auto"/>
          <w:sz w:val="32"/>
          <w:szCs w:val="32"/>
          <w:lang w:val="zh-CN" w:eastAsia="zh-CN"/>
        </w:rPr>
        <w:t>全区决算详细情况已在决算草案中说明。</w:t>
      </w:r>
    </w:p>
    <w:p>
      <w:pPr>
        <w:keepNext w:val="0"/>
        <w:keepLines w:val="0"/>
        <w:pageBreakBefore w:val="0"/>
        <w:widowControl w:val="0"/>
        <w:kinsoku/>
        <w:wordWrap/>
        <w:overflowPunct/>
        <w:topLinePunct w:val="0"/>
        <w:autoSpaceDE/>
        <w:autoSpaceDN/>
        <w:bidi w:val="0"/>
        <w:adjustRightInd/>
        <w:snapToGrid w:val="0"/>
        <w:spacing w:line="560" w:lineRule="exact"/>
        <w:ind w:left="0" w:leftChars="0" w:right="0" w:firstLine="640" w:firstLineChars="200"/>
        <w:jc w:val="both"/>
        <w:textAlignment w:val="auto"/>
        <w:outlineLvl w:val="9"/>
        <w:rPr>
          <w:rFonts w:hint="eastAsia" w:ascii="黑体" w:eastAsia="黑体" w:cs="黑体"/>
          <w:color w:val="auto"/>
          <w:sz w:val="32"/>
          <w:szCs w:val="32"/>
        </w:rPr>
      </w:pPr>
      <w:r>
        <w:rPr>
          <w:rFonts w:hint="eastAsia" w:ascii="黑体" w:eastAsia="黑体" w:cs="黑体"/>
          <w:color w:val="auto"/>
          <w:sz w:val="32"/>
          <w:szCs w:val="32"/>
        </w:rPr>
        <w:t>二、</w:t>
      </w:r>
      <w:r>
        <w:rPr>
          <w:rFonts w:ascii="黑体" w:eastAsia="黑体" w:cs="黑体"/>
          <w:color w:val="auto"/>
          <w:sz w:val="32"/>
          <w:szCs w:val="32"/>
        </w:rPr>
        <w:t>20</w:t>
      </w:r>
      <w:r>
        <w:rPr>
          <w:rFonts w:hint="eastAsia" w:ascii="黑体" w:eastAsia="黑体" w:cs="黑体"/>
          <w:color w:val="auto"/>
          <w:sz w:val="32"/>
          <w:szCs w:val="32"/>
          <w:lang w:val="en-US" w:eastAsia="zh-CN"/>
        </w:rPr>
        <w:t>22</w:t>
      </w:r>
      <w:r>
        <w:rPr>
          <w:rFonts w:hint="eastAsia" w:ascii="黑体" w:eastAsia="黑体" w:cs="黑体"/>
          <w:color w:val="auto"/>
          <w:sz w:val="32"/>
          <w:szCs w:val="32"/>
        </w:rPr>
        <w:t>年</w:t>
      </w:r>
      <w:r>
        <w:rPr>
          <w:rFonts w:ascii="黑体" w:eastAsia="黑体" w:cs="黑体"/>
          <w:color w:val="auto"/>
          <w:sz w:val="32"/>
          <w:szCs w:val="32"/>
        </w:rPr>
        <w:t>1-6</w:t>
      </w:r>
      <w:r>
        <w:rPr>
          <w:rFonts w:hint="eastAsia" w:ascii="黑体" w:eastAsia="黑体" w:cs="黑体"/>
          <w:color w:val="auto"/>
          <w:sz w:val="32"/>
          <w:szCs w:val="32"/>
        </w:rPr>
        <w:t>月份区级预算执行情况</w:t>
      </w:r>
    </w:p>
    <w:p>
      <w:pPr>
        <w:keepNext w:val="0"/>
        <w:keepLines w:val="0"/>
        <w:pageBreakBefore w:val="0"/>
        <w:widowControl w:val="0"/>
        <w:kinsoku/>
        <w:wordWrap/>
        <w:overflowPunct/>
        <w:topLinePunct w:val="0"/>
        <w:autoSpaceDE/>
        <w:autoSpaceDN/>
        <w:bidi w:val="0"/>
        <w:adjustRightInd/>
        <w:snapToGrid w:val="0"/>
        <w:spacing w:line="560" w:lineRule="exact"/>
        <w:ind w:left="0" w:leftChars="0" w:right="0" w:firstLine="470" w:firstLineChars="147"/>
        <w:jc w:val="both"/>
        <w:textAlignment w:val="auto"/>
        <w:outlineLvl w:val="9"/>
        <w:rPr>
          <w:b w:val="0"/>
          <w:bCs w:val="0"/>
          <w:color w:val="auto"/>
          <w:sz w:val="32"/>
          <w:szCs w:val="32"/>
        </w:rPr>
      </w:pPr>
      <w:r>
        <w:rPr>
          <w:rFonts w:hint="eastAsia" w:ascii="楷体_GB2312" w:eastAsia="楷体_GB2312" w:cs="楷体_GB2312"/>
          <w:b w:val="0"/>
          <w:bCs w:val="0"/>
          <w:color w:val="auto"/>
          <w:sz w:val="32"/>
          <w:szCs w:val="32"/>
        </w:rPr>
        <w:t>（一）</w:t>
      </w:r>
      <w:r>
        <w:rPr>
          <w:rFonts w:ascii="楷体_GB2312" w:eastAsia="楷体_GB2312" w:cs="楷体_GB2312"/>
          <w:b w:val="0"/>
          <w:bCs w:val="0"/>
          <w:color w:val="auto"/>
          <w:sz w:val="32"/>
          <w:szCs w:val="32"/>
        </w:rPr>
        <w:t>1-6</w:t>
      </w:r>
      <w:r>
        <w:rPr>
          <w:rFonts w:hint="eastAsia" w:ascii="楷体_GB2312" w:eastAsia="楷体_GB2312" w:cs="楷体_GB2312"/>
          <w:b w:val="0"/>
          <w:bCs w:val="0"/>
          <w:color w:val="auto"/>
          <w:sz w:val="32"/>
          <w:szCs w:val="32"/>
        </w:rPr>
        <w:t>月份一般公共预算执行情况</w:t>
      </w:r>
    </w:p>
    <w:p>
      <w:pPr>
        <w:keepNext w:val="0"/>
        <w:keepLines w:val="0"/>
        <w:pageBreakBefore w:val="0"/>
        <w:widowControl w:val="0"/>
        <w:kinsoku/>
        <w:wordWrap/>
        <w:overflowPunct/>
        <w:topLinePunct w:val="0"/>
        <w:autoSpaceDE/>
        <w:autoSpaceDN/>
        <w:bidi w:val="0"/>
        <w:adjustRightInd/>
        <w:snapToGrid w:val="0"/>
        <w:spacing w:line="560" w:lineRule="exact"/>
        <w:ind w:left="0" w:leftChars="0" w:right="0" w:firstLine="640" w:firstLineChars="200"/>
        <w:jc w:val="both"/>
        <w:textAlignment w:val="auto"/>
        <w:outlineLvl w:val="9"/>
        <w:rPr>
          <w:rFonts w:hint="eastAsia" w:ascii="仿宋_GB2312" w:eastAsia="仿宋_GB2312" w:cs="仿宋_GB2312"/>
          <w:color w:val="auto"/>
          <w:sz w:val="32"/>
          <w:szCs w:val="32"/>
        </w:rPr>
      </w:pPr>
      <w:r>
        <w:rPr>
          <w:rFonts w:hint="eastAsia" w:ascii="仿宋_GB2312" w:eastAsia="仿宋_GB2312" w:cs="仿宋_GB2312"/>
          <w:color w:val="auto"/>
          <w:sz w:val="32"/>
          <w:szCs w:val="32"/>
        </w:rPr>
        <w:t>区十</w:t>
      </w:r>
      <w:r>
        <w:rPr>
          <w:rFonts w:hint="eastAsia" w:ascii="仿宋_GB2312" w:eastAsia="仿宋_GB2312" w:cs="仿宋_GB2312"/>
          <w:color w:val="auto"/>
          <w:sz w:val="32"/>
          <w:szCs w:val="32"/>
          <w:lang w:eastAsia="zh-CN"/>
        </w:rPr>
        <w:t>六</w:t>
      </w:r>
      <w:r>
        <w:rPr>
          <w:rFonts w:hint="eastAsia" w:ascii="仿宋_GB2312" w:eastAsia="仿宋_GB2312" w:cs="仿宋_GB2312"/>
          <w:color w:val="auto"/>
          <w:sz w:val="32"/>
          <w:szCs w:val="32"/>
        </w:rPr>
        <w:t>届人大</w:t>
      </w:r>
      <w:r>
        <w:rPr>
          <w:rFonts w:hint="eastAsia" w:ascii="仿宋_GB2312" w:eastAsia="仿宋_GB2312" w:cs="仿宋_GB2312"/>
          <w:color w:val="auto"/>
          <w:sz w:val="32"/>
          <w:szCs w:val="32"/>
          <w:lang w:eastAsia="zh-CN"/>
        </w:rPr>
        <w:t>一</w:t>
      </w:r>
      <w:r>
        <w:rPr>
          <w:rFonts w:hint="eastAsia" w:ascii="仿宋_GB2312" w:eastAsia="仿宋_GB2312" w:cs="仿宋_GB2312"/>
          <w:color w:val="auto"/>
          <w:sz w:val="32"/>
          <w:szCs w:val="32"/>
        </w:rPr>
        <w:t>次会议批准的20</w:t>
      </w:r>
      <w:r>
        <w:rPr>
          <w:rFonts w:hint="eastAsia" w:ascii="仿宋_GB2312" w:eastAsia="仿宋_GB2312" w:cs="仿宋_GB2312"/>
          <w:color w:val="auto"/>
          <w:sz w:val="32"/>
          <w:szCs w:val="32"/>
          <w:lang w:val="en-US" w:eastAsia="zh-CN"/>
        </w:rPr>
        <w:t>22</w:t>
      </w:r>
      <w:r>
        <w:rPr>
          <w:rFonts w:hint="eastAsia" w:ascii="仿宋_GB2312" w:eastAsia="仿宋_GB2312" w:cs="仿宋_GB2312"/>
          <w:color w:val="auto"/>
          <w:sz w:val="32"/>
          <w:szCs w:val="32"/>
        </w:rPr>
        <w:t>年</w:t>
      </w:r>
      <w:r>
        <w:rPr>
          <w:rFonts w:hint="eastAsia" w:ascii="仿宋_GB2312" w:eastAsia="仿宋_GB2312" w:cs="仿宋_GB2312"/>
          <w:color w:val="auto"/>
          <w:sz w:val="32"/>
          <w:szCs w:val="32"/>
          <w:lang w:val="en-US" w:eastAsia="zh-CN"/>
        </w:rPr>
        <w:t>区</w:t>
      </w:r>
      <w:r>
        <w:rPr>
          <w:rFonts w:hint="eastAsia" w:ascii="仿宋_GB2312" w:eastAsia="仿宋_GB2312" w:cs="仿宋_GB2312"/>
          <w:color w:val="auto"/>
          <w:sz w:val="32"/>
          <w:szCs w:val="32"/>
        </w:rPr>
        <w:t>级一般公共预算收入为</w:t>
      </w:r>
      <w:r>
        <w:rPr>
          <w:rFonts w:hint="eastAsia" w:ascii="仿宋_GB2312" w:eastAsia="仿宋_GB2312" w:cs="仿宋_GB2312"/>
          <w:color w:val="auto"/>
          <w:sz w:val="32"/>
          <w:szCs w:val="32"/>
          <w:lang w:val="en-US" w:eastAsia="zh-CN"/>
        </w:rPr>
        <w:t>75315万</w:t>
      </w:r>
      <w:r>
        <w:rPr>
          <w:rFonts w:hint="eastAsia" w:ascii="仿宋_GB2312" w:eastAsia="仿宋_GB2312" w:cs="仿宋_GB2312"/>
          <w:color w:val="auto"/>
          <w:sz w:val="32"/>
          <w:szCs w:val="32"/>
        </w:rPr>
        <w:t>元。1-6月份，</w:t>
      </w:r>
      <w:r>
        <w:rPr>
          <w:rFonts w:hint="eastAsia" w:ascii="仿宋_GB2312" w:eastAsia="仿宋_GB2312" w:cs="仿宋_GB2312"/>
          <w:color w:val="auto"/>
          <w:sz w:val="32"/>
          <w:szCs w:val="32"/>
          <w:lang w:val="en-US" w:eastAsia="zh-CN"/>
        </w:rPr>
        <w:t>区级</w:t>
      </w:r>
      <w:r>
        <w:rPr>
          <w:rFonts w:hint="eastAsia" w:ascii="仿宋_GB2312" w:eastAsia="仿宋_GB2312" w:cs="仿宋_GB2312"/>
          <w:color w:val="auto"/>
          <w:sz w:val="32"/>
          <w:szCs w:val="32"/>
        </w:rPr>
        <w:t>一般公共预算收入累计完成</w:t>
      </w:r>
      <w:r>
        <w:rPr>
          <w:rFonts w:hint="eastAsia" w:ascii="仿宋_GB2312" w:eastAsia="仿宋_GB2312" w:cs="仿宋_GB2312"/>
          <w:color w:val="auto"/>
          <w:sz w:val="32"/>
          <w:szCs w:val="32"/>
          <w:lang w:val="en-US" w:eastAsia="zh-CN"/>
        </w:rPr>
        <w:t>41799万</w:t>
      </w:r>
      <w:r>
        <w:rPr>
          <w:rFonts w:hint="eastAsia" w:ascii="仿宋_GB2312" w:eastAsia="仿宋_GB2312" w:cs="仿宋_GB2312"/>
          <w:color w:val="auto"/>
          <w:sz w:val="32"/>
          <w:szCs w:val="32"/>
        </w:rPr>
        <w:t>元,占全年收入任务的</w:t>
      </w:r>
      <w:r>
        <w:rPr>
          <w:rFonts w:hint="eastAsia" w:ascii="仿宋_GB2312" w:eastAsia="仿宋_GB2312" w:cs="仿宋_GB2312"/>
          <w:color w:val="auto"/>
          <w:sz w:val="32"/>
          <w:szCs w:val="32"/>
          <w:lang w:val="en-US" w:eastAsia="zh-CN"/>
        </w:rPr>
        <w:t>55.5</w:t>
      </w:r>
      <w:r>
        <w:rPr>
          <w:rFonts w:hint="eastAsia" w:ascii="仿宋_GB2312" w:eastAsia="仿宋_GB2312" w:cs="仿宋_GB2312"/>
          <w:color w:val="auto"/>
          <w:sz w:val="32"/>
          <w:szCs w:val="32"/>
        </w:rPr>
        <w:t>%。</w:t>
      </w:r>
    </w:p>
    <w:p>
      <w:pPr>
        <w:keepNext w:val="0"/>
        <w:keepLines w:val="0"/>
        <w:pageBreakBefore w:val="0"/>
        <w:widowControl w:val="0"/>
        <w:kinsoku/>
        <w:wordWrap/>
        <w:overflowPunct/>
        <w:topLinePunct w:val="0"/>
        <w:autoSpaceDE/>
        <w:autoSpaceDN/>
        <w:bidi w:val="0"/>
        <w:adjustRightInd/>
        <w:snapToGrid w:val="0"/>
        <w:spacing w:line="560" w:lineRule="exact"/>
        <w:ind w:left="0" w:leftChars="0" w:right="0" w:firstLine="640" w:firstLineChars="200"/>
        <w:jc w:val="both"/>
        <w:textAlignment w:val="auto"/>
        <w:outlineLvl w:val="9"/>
        <w:rPr>
          <w:rFonts w:hint="eastAsia" w:ascii="仿宋_GB2312" w:eastAsia="仿宋_GB2312" w:cs="仿宋_GB2312"/>
          <w:color w:val="auto"/>
          <w:sz w:val="32"/>
          <w:szCs w:val="32"/>
        </w:rPr>
      </w:pPr>
      <w:r>
        <w:rPr>
          <w:rFonts w:hint="eastAsia" w:ascii="仿宋_GB2312" w:eastAsia="仿宋_GB2312" w:cs="仿宋_GB2312"/>
          <w:color w:val="auto"/>
          <w:sz w:val="32"/>
          <w:szCs w:val="32"/>
        </w:rPr>
        <w:t>一般公共预算支出安排</w:t>
      </w:r>
      <w:r>
        <w:rPr>
          <w:rFonts w:hint="eastAsia" w:ascii="仿宋_GB2312" w:eastAsia="仿宋_GB2312" w:cs="仿宋_GB2312"/>
          <w:color w:val="auto"/>
          <w:sz w:val="32"/>
          <w:szCs w:val="32"/>
          <w:lang w:val="en-US" w:eastAsia="zh-CN"/>
        </w:rPr>
        <w:t>206623万</w:t>
      </w:r>
      <w:r>
        <w:rPr>
          <w:rFonts w:hint="eastAsia" w:ascii="仿宋_GB2312" w:eastAsia="仿宋_GB2312" w:cs="仿宋_GB2312"/>
          <w:color w:val="auto"/>
          <w:sz w:val="32"/>
          <w:szCs w:val="32"/>
        </w:rPr>
        <w:t>元。1-6月份,一般公共预算支出累计完成</w:t>
      </w:r>
      <w:r>
        <w:rPr>
          <w:rFonts w:hint="eastAsia" w:ascii="仿宋_GB2312" w:eastAsia="仿宋_GB2312" w:cs="仿宋_GB2312"/>
          <w:color w:val="auto"/>
          <w:sz w:val="32"/>
          <w:szCs w:val="32"/>
          <w:lang w:val="en-US" w:eastAsia="zh-CN"/>
        </w:rPr>
        <w:t>96952万</w:t>
      </w:r>
      <w:r>
        <w:rPr>
          <w:rFonts w:hint="eastAsia" w:ascii="仿宋_GB2312" w:eastAsia="仿宋_GB2312" w:cs="仿宋_GB2312"/>
          <w:color w:val="auto"/>
          <w:sz w:val="32"/>
          <w:szCs w:val="32"/>
        </w:rPr>
        <w:t>元，</w:t>
      </w:r>
      <w:r>
        <w:rPr>
          <w:rFonts w:hint="eastAsia" w:ascii="仿宋_GB2312" w:eastAsia="仿宋_GB2312" w:cs="仿宋_GB2312"/>
          <w:color w:val="auto"/>
          <w:sz w:val="32"/>
          <w:szCs w:val="32"/>
          <w:lang w:val="en-US" w:eastAsia="zh-CN"/>
        </w:rPr>
        <w:t>完成预算调整数238366万元的40.7%</w:t>
      </w:r>
      <w:r>
        <w:rPr>
          <w:rFonts w:hint="eastAsia" w:ascii="仿宋_GB2312" w:eastAsia="仿宋_GB2312" w:cs="仿宋_GB2312"/>
          <w:color w:val="auto"/>
          <w:sz w:val="32"/>
          <w:szCs w:val="32"/>
        </w:rPr>
        <w:t>。主要支出情况：</w:t>
      </w:r>
    </w:p>
    <w:p>
      <w:pPr>
        <w:keepNext w:val="0"/>
        <w:keepLines w:val="0"/>
        <w:pageBreakBefore w:val="0"/>
        <w:widowControl w:val="0"/>
        <w:kinsoku/>
        <w:wordWrap/>
        <w:overflowPunct/>
        <w:topLinePunct w:val="0"/>
        <w:autoSpaceDE/>
        <w:autoSpaceDN/>
        <w:bidi w:val="0"/>
        <w:adjustRightInd/>
        <w:snapToGrid w:val="0"/>
        <w:spacing w:line="560" w:lineRule="exact"/>
        <w:ind w:left="0" w:leftChars="0" w:right="0" w:firstLine="640" w:firstLineChars="200"/>
        <w:jc w:val="both"/>
        <w:textAlignment w:val="auto"/>
        <w:outlineLvl w:val="9"/>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●一般公共服务支出</w:t>
      </w:r>
      <w:r>
        <w:rPr>
          <w:rFonts w:hint="eastAsia" w:ascii="仿宋_GB2312" w:hAnsi="仿宋_GB2312" w:eastAsia="仿宋_GB2312" w:cs="仿宋_GB2312"/>
          <w:color w:val="auto"/>
          <w:sz w:val="32"/>
          <w:szCs w:val="32"/>
          <w:lang w:val="en-US" w:eastAsia="zh-CN"/>
        </w:rPr>
        <w:t>30158万</w:t>
      </w:r>
      <w:r>
        <w:rPr>
          <w:rFonts w:hint="eastAsia" w:ascii="仿宋_GB2312" w:hAnsi="仿宋_GB2312" w:eastAsia="仿宋_GB2312" w:cs="仿宋_GB2312"/>
          <w:color w:val="auto"/>
          <w:sz w:val="32"/>
          <w:szCs w:val="32"/>
        </w:rPr>
        <w:t>元，完成预算的</w:t>
      </w:r>
      <w:r>
        <w:rPr>
          <w:rFonts w:hint="eastAsia" w:ascii="仿宋_GB2312" w:hAnsi="仿宋_GB2312" w:eastAsia="仿宋_GB2312" w:cs="仿宋_GB2312"/>
          <w:color w:val="auto"/>
          <w:sz w:val="32"/>
          <w:szCs w:val="32"/>
          <w:lang w:val="en-US" w:eastAsia="zh-CN"/>
        </w:rPr>
        <w:t>58.1</w:t>
      </w:r>
      <w:r>
        <w:rPr>
          <w:rFonts w:hint="eastAsia" w:ascii="仿宋_GB2312" w:hAnsi="仿宋_GB2312" w:eastAsia="仿宋_GB2312" w:cs="仿宋_GB2312"/>
          <w:color w:val="auto"/>
          <w:sz w:val="32"/>
          <w:szCs w:val="32"/>
        </w:rPr>
        <w:t>%，同比</w:t>
      </w:r>
      <w:r>
        <w:rPr>
          <w:rFonts w:hint="eastAsia" w:ascii="仿宋_GB2312" w:hAnsi="仿宋_GB2312" w:eastAsia="仿宋_GB2312" w:cs="仿宋_GB2312"/>
          <w:color w:val="auto"/>
          <w:sz w:val="32"/>
          <w:szCs w:val="32"/>
          <w:lang w:val="en-US" w:eastAsia="zh-CN"/>
        </w:rPr>
        <w:t>上升33.9</w:t>
      </w:r>
      <w:r>
        <w:rPr>
          <w:rFonts w:hint="eastAsia" w:ascii="仿宋_GB2312" w:hAnsi="仿宋_GB2312" w:eastAsia="仿宋_GB2312" w:cs="仿宋_GB2312"/>
          <w:color w:val="auto"/>
          <w:sz w:val="32"/>
          <w:szCs w:val="32"/>
        </w:rPr>
        <w:t>%</w:t>
      </w:r>
      <w:r>
        <w:rPr>
          <w:rFonts w:hint="eastAsia" w:ascii="仿宋_GB2312" w:hAnsi="仿宋_GB2312" w:eastAsia="仿宋_GB2312" w:cs="仿宋_GB2312"/>
          <w:color w:val="auto"/>
          <w:sz w:val="32"/>
          <w:szCs w:val="32"/>
          <w:lang w:val="en-US" w:eastAsia="zh-CN"/>
        </w:rPr>
        <w:t>；</w:t>
      </w:r>
    </w:p>
    <w:p>
      <w:pPr>
        <w:keepNext w:val="0"/>
        <w:keepLines w:val="0"/>
        <w:pageBreakBefore w:val="0"/>
        <w:widowControl w:val="0"/>
        <w:kinsoku/>
        <w:wordWrap/>
        <w:overflowPunct/>
        <w:topLinePunct w:val="0"/>
        <w:autoSpaceDE/>
        <w:autoSpaceDN/>
        <w:bidi w:val="0"/>
        <w:adjustRightInd/>
        <w:snapToGrid w:val="0"/>
        <w:spacing w:line="560" w:lineRule="exact"/>
        <w:ind w:left="0" w:leftChars="0" w:right="0" w:firstLine="640" w:firstLineChars="200"/>
        <w:jc w:val="both"/>
        <w:textAlignment w:val="auto"/>
        <w:outlineLvl w:val="9"/>
        <w:rPr>
          <w:rFonts w:hint="eastAsia" w:ascii="仿宋_GB2312" w:hAnsi="仿宋_GB2312" w:eastAsia="仿宋_GB2312" w:cs="仿宋_GB2312"/>
          <w:color w:val="auto"/>
          <w:sz w:val="32"/>
          <w:szCs w:val="32"/>
          <w:lang w:eastAsia="zh-CN"/>
        </w:rPr>
      </w:pPr>
      <w:r>
        <w:rPr>
          <w:rFonts w:hint="eastAsia" w:ascii="仿宋_GB2312" w:hAnsi="仿宋_GB2312" w:eastAsia="仿宋_GB2312" w:cs="仿宋_GB2312"/>
          <w:color w:val="auto"/>
          <w:sz w:val="32"/>
          <w:szCs w:val="32"/>
        </w:rPr>
        <w:t>●公共安全支出</w:t>
      </w:r>
      <w:r>
        <w:rPr>
          <w:rFonts w:hint="eastAsia" w:ascii="仿宋_GB2312" w:hAnsi="仿宋_GB2312" w:eastAsia="仿宋_GB2312" w:cs="仿宋_GB2312"/>
          <w:color w:val="auto"/>
          <w:sz w:val="32"/>
          <w:szCs w:val="32"/>
          <w:lang w:val="en-US" w:eastAsia="zh-CN"/>
        </w:rPr>
        <w:t>970</w:t>
      </w:r>
      <w:r>
        <w:rPr>
          <w:rFonts w:hint="eastAsia" w:ascii="仿宋_GB2312" w:hAnsi="仿宋_GB2312" w:eastAsia="仿宋_GB2312" w:cs="仿宋_GB2312"/>
          <w:color w:val="auto"/>
          <w:sz w:val="32"/>
          <w:szCs w:val="32"/>
        </w:rPr>
        <w:t>万元，完成预算的</w:t>
      </w:r>
      <w:r>
        <w:rPr>
          <w:rFonts w:hint="eastAsia" w:ascii="仿宋_GB2312" w:hAnsi="仿宋_GB2312" w:eastAsia="仿宋_GB2312" w:cs="仿宋_GB2312"/>
          <w:color w:val="auto"/>
          <w:sz w:val="32"/>
          <w:szCs w:val="32"/>
          <w:lang w:val="en-US" w:eastAsia="zh-CN"/>
        </w:rPr>
        <w:t>38.8</w:t>
      </w:r>
      <w:r>
        <w:rPr>
          <w:rFonts w:hint="eastAsia" w:ascii="仿宋_GB2312" w:hAnsi="仿宋_GB2312" w:eastAsia="仿宋_GB2312" w:cs="仿宋_GB2312"/>
          <w:color w:val="auto"/>
          <w:sz w:val="32"/>
          <w:szCs w:val="32"/>
        </w:rPr>
        <w:t>%，同比</w:t>
      </w:r>
      <w:r>
        <w:rPr>
          <w:rFonts w:hint="eastAsia" w:ascii="仿宋_GB2312" w:hAnsi="仿宋_GB2312" w:eastAsia="仿宋_GB2312" w:cs="仿宋_GB2312"/>
          <w:color w:val="auto"/>
          <w:sz w:val="32"/>
          <w:szCs w:val="32"/>
          <w:lang w:val="en-US" w:eastAsia="zh-CN"/>
        </w:rPr>
        <w:t>上升0.6</w:t>
      </w:r>
      <w:r>
        <w:rPr>
          <w:rFonts w:hint="eastAsia" w:ascii="仿宋_GB2312" w:hAnsi="仿宋_GB2312" w:eastAsia="仿宋_GB2312" w:cs="仿宋_GB2312"/>
          <w:color w:val="auto"/>
          <w:sz w:val="32"/>
          <w:szCs w:val="32"/>
        </w:rPr>
        <w:t>%</w:t>
      </w:r>
      <w:r>
        <w:rPr>
          <w:rFonts w:hint="eastAsia" w:ascii="仿宋_GB2312" w:hAnsi="仿宋_GB2312" w:eastAsia="仿宋_GB2312" w:cs="仿宋_GB2312"/>
          <w:color w:val="auto"/>
          <w:sz w:val="32"/>
          <w:szCs w:val="32"/>
          <w:lang w:eastAsia="zh-CN"/>
        </w:rPr>
        <w:t>；</w:t>
      </w:r>
    </w:p>
    <w:p>
      <w:pPr>
        <w:keepNext w:val="0"/>
        <w:keepLines w:val="0"/>
        <w:pageBreakBefore w:val="0"/>
        <w:widowControl w:val="0"/>
        <w:kinsoku/>
        <w:wordWrap/>
        <w:overflowPunct/>
        <w:topLinePunct w:val="0"/>
        <w:autoSpaceDE/>
        <w:autoSpaceDN/>
        <w:bidi w:val="0"/>
        <w:adjustRightInd/>
        <w:snapToGrid w:val="0"/>
        <w:spacing w:line="560" w:lineRule="exact"/>
        <w:ind w:left="0" w:leftChars="0" w:right="0" w:firstLine="640" w:firstLineChars="200"/>
        <w:jc w:val="both"/>
        <w:textAlignment w:val="auto"/>
        <w:outlineLvl w:val="9"/>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●教育支出</w:t>
      </w:r>
      <w:r>
        <w:rPr>
          <w:rFonts w:hint="eastAsia" w:ascii="仿宋_GB2312" w:hAnsi="仿宋_GB2312" w:eastAsia="仿宋_GB2312" w:cs="仿宋_GB2312"/>
          <w:color w:val="auto"/>
          <w:sz w:val="32"/>
          <w:szCs w:val="32"/>
          <w:lang w:val="en-US" w:eastAsia="zh-CN"/>
        </w:rPr>
        <w:t>19089万</w:t>
      </w:r>
      <w:r>
        <w:rPr>
          <w:rFonts w:hint="eastAsia" w:ascii="仿宋_GB2312" w:hAnsi="仿宋_GB2312" w:eastAsia="仿宋_GB2312" w:cs="仿宋_GB2312"/>
          <w:color w:val="auto"/>
          <w:sz w:val="32"/>
          <w:szCs w:val="32"/>
        </w:rPr>
        <w:t>元，完成预算的</w:t>
      </w:r>
      <w:r>
        <w:rPr>
          <w:rFonts w:hint="eastAsia" w:ascii="仿宋_GB2312" w:hAnsi="仿宋_GB2312" w:eastAsia="仿宋_GB2312" w:cs="仿宋_GB2312"/>
          <w:color w:val="auto"/>
          <w:sz w:val="32"/>
          <w:szCs w:val="32"/>
          <w:lang w:val="en-US" w:eastAsia="zh-CN"/>
        </w:rPr>
        <w:t>40.9</w:t>
      </w:r>
      <w:r>
        <w:rPr>
          <w:rFonts w:hint="eastAsia" w:ascii="仿宋_GB2312" w:hAnsi="仿宋_GB2312" w:eastAsia="仿宋_GB2312" w:cs="仿宋_GB2312"/>
          <w:color w:val="auto"/>
          <w:sz w:val="32"/>
          <w:szCs w:val="32"/>
        </w:rPr>
        <w:t>%，同比</w:t>
      </w:r>
      <w:r>
        <w:rPr>
          <w:rFonts w:hint="eastAsia" w:ascii="仿宋_GB2312" w:hAnsi="仿宋_GB2312" w:eastAsia="仿宋_GB2312" w:cs="仿宋_GB2312"/>
          <w:color w:val="auto"/>
          <w:sz w:val="32"/>
          <w:szCs w:val="32"/>
          <w:lang w:eastAsia="zh-CN"/>
        </w:rPr>
        <w:t>增长</w:t>
      </w:r>
      <w:r>
        <w:rPr>
          <w:rFonts w:hint="eastAsia" w:ascii="仿宋_GB2312" w:hAnsi="仿宋_GB2312" w:eastAsia="仿宋_GB2312" w:cs="仿宋_GB2312"/>
          <w:color w:val="auto"/>
          <w:sz w:val="32"/>
          <w:szCs w:val="32"/>
          <w:lang w:val="en-US" w:eastAsia="zh-CN"/>
        </w:rPr>
        <w:t>10.1</w:t>
      </w:r>
      <w:r>
        <w:rPr>
          <w:rFonts w:hint="eastAsia" w:ascii="仿宋_GB2312" w:hAnsi="仿宋_GB2312" w:eastAsia="仿宋_GB2312" w:cs="仿宋_GB2312"/>
          <w:color w:val="auto"/>
          <w:sz w:val="32"/>
          <w:szCs w:val="32"/>
        </w:rPr>
        <w:t>%；</w:t>
      </w:r>
    </w:p>
    <w:p>
      <w:pPr>
        <w:keepNext w:val="0"/>
        <w:keepLines w:val="0"/>
        <w:pageBreakBefore w:val="0"/>
        <w:widowControl w:val="0"/>
        <w:kinsoku/>
        <w:wordWrap/>
        <w:overflowPunct/>
        <w:topLinePunct w:val="0"/>
        <w:autoSpaceDE/>
        <w:autoSpaceDN/>
        <w:bidi w:val="0"/>
        <w:adjustRightInd/>
        <w:snapToGrid w:val="0"/>
        <w:spacing w:line="560" w:lineRule="exact"/>
        <w:ind w:left="0" w:leftChars="0" w:right="0" w:firstLine="640" w:firstLineChars="200"/>
        <w:jc w:val="both"/>
        <w:textAlignment w:val="auto"/>
        <w:outlineLvl w:val="9"/>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●科学技术支出</w:t>
      </w:r>
      <w:r>
        <w:rPr>
          <w:rFonts w:hint="eastAsia" w:ascii="仿宋_GB2312" w:hAnsi="仿宋_GB2312" w:eastAsia="仿宋_GB2312" w:cs="仿宋_GB2312"/>
          <w:color w:val="auto"/>
          <w:sz w:val="32"/>
          <w:szCs w:val="32"/>
          <w:lang w:val="en-US" w:eastAsia="zh-CN"/>
        </w:rPr>
        <w:t>242</w:t>
      </w:r>
      <w:r>
        <w:rPr>
          <w:rFonts w:hint="eastAsia" w:ascii="仿宋_GB2312" w:hAnsi="仿宋_GB2312" w:eastAsia="仿宋_GB2312" w:cs="仿宋_GB2312"/>
          <w:color w:val="auto"/>
          <w:sz w:val="32"/>
          <w:szCs w:val="32"/>
        </w:rPr>
        <w:t>万元，完成预算的</w:t>
      </w:r>
      <w:r>
        <w:rPr>
          <w:rFonts w:hint="eastAsia" w:ascii="仿宋_GB2312" w:hAnsi="仿宋_GB2312" w:eastAsia="仿宋_GB2312" w:cs="仿宋_GB2312"/>
          <w:color w:val="auto"/>
          <w:sz w:val="32"/>
          <w:szCs w:val="32"/>
          <w:lang w:val="en-US" w:eastAsia="zh-CN"/>
        </w:rPr>
        <w:t>71.2</w:t>
      </w:r>
      <w:r>
        <w:rPr>
          <w:rFonts w:hint="eastAsia" w:ascii="仿宋_GB2312" w:hAnsi="仿宋_GB2312" w:eastAsia="仿宋_GB2312" w:cs="仿宋_GB2312"/>
          <w:color w:val="auto"/>
          <w:sz w:val="32"/>
          <w:szCs w:val="32"/>
        </w:rPr>
        <w:t>%，同比</w:t>
      </w:r>
      <w:r>
        <w:rPr>
          <w:rFonts w:hint="eastAsia" w:ascii="仿宋_GB2312" w:hAnsi="仿宋_GB2312" w:eastAsia="仿宋_GB2312" w:cs="仿宋_GB2312"/>
          <w:color w:val="auto"/>
          <w:sz w:val="32"/>
          <w:szCs w:val="32"/>
          <w:lang w:eastAsia="zh-CN"/>
        </w:rPr>
        <w:t>增长</w:t>
      </w:r>
      <w:r>
        <w:rPr>
          <w:rFonts w:hint="eastAsia" w:ascii="仿宋_GB2312" w:hAnsi="仿宋_GB2312" w:eastAsia="仿宋_GB2312" w:cs="仿宋_GB2312"/>
          <w:color w:val="auto"/>
          <w:sz w:val="32"/>
          <w:szCs w:val="32"/>
          <w:lang w:val="en-US" w:eastAsia="zh-CN"/>
        </w:rPr>
        <w:t>56.1%</w:t>
      </w:r>
      <w:r>
        <w:rPr>
          <w:rFonts w:hint="eastAsia" w:ascii="仿宋_GB2312" w:hAnsi="仿宋_GB2312" w:eastAsia="仿宋_GB2312" w:cs="仿宋_GB2312"/>
          <w:color w:val="auto"/>
          <w:sz w:val="32"/>
          <w:szCs w:val="32"/>
        </w:rPr>
        <w:t>；</w:t>
      </w:r>
    </w:p>
    <w:p>
      <w:pPr>
        <w:keepNext w:val="0"/>
        <w:keepLines w:val="0"/>
        <w:pageBreakBefore w:val="0"/>
        <w:widowControl w:val="0"/>
        <w:kinsoku/>
        <w:wordWrap/>
        <w:overflowPunct/>
        <w:topLinePunct w:val="0"/>
        <w:autoSpaceDE/>
        <w:autoSpaceDN/>
        <w:bidi w:val="0"/>
        <w:adjustRightInd/>
        <w:snapToGrid w:val="0"/>
        <w:spacing w:line="560" w:lineRule="exact"/>
        <w:ind w:left="0" w:leftChars="0" w:right="0" w:firstLine="640" w:firstLineChars="200"/>
        <w:jc w:val="both"/>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rPr>
        <w:t>●文化</w:t>
      </w:r>
      <w:r>
        <w:rPr>
          <w:rFonts w:hint="eastAsia" w:ascii="仿宋_GB2312" w:hAnsi="仿宋_GB2312" w:eastAsia="仿宋_GB2312" w:cs="仿宋_GB2312"/>
          <w:color w:val="auto"/>
          <w:sz w:val="32"/>
          <w:szCs w:val="32"/>
          <w:lang w:val="en-US" w:eastAsia="zh-CN"/>
        </w:rPr>
        <w:t>旅游</w:t>
      </w:r>
      <w:r>
        <w:rPr>
          <w:rFonts w:hint="eastAsia" w:ascii="仿宋_GB2312" w:hAnsi="仿宋_GB2312" w:eastAsia="仿宋_GB2312" w:cs="仿宋_GB2312"/>
          <w:color w:val="auto"/>
          <w:sz w:val="32"/>
          <w:szCs w:val="32"/>
        </w:rPr>
        <w:t>体育与传媒支出</w:t>
      </w:r>
      <w:r>
        <w:rPr>
          <w:rFonts w:hint="eastAsia" w:ascii="仿宋_GB2312" w:hAnsi="仿宋_GB2312" w:eastAsia="仿宋_GB2312" w:cs="仿宋_GB2312"/>
          <w:color w:val="auto"/>
          <w:sz w:val="32"/>
          <w:szCs w:val="32"/>
          <w:lang w:val="en-US" w:eastAsia="zh-CN"/>
        </w:rPr>
        <w:t>372</w:t>
      </w:r>
      <w:r>
        <w:rPr>
          <w:rFonts w:hint="eastAsia" w:ascii="仿宋_GB2312" w:hAnsi="仿宋_GB2312" w:eastAsia="仿宋_GB2312" w:cs="仿宋_GB2312"/>
          <w:color w:val="auto"/>
          <w:sz w:val="32"/>
          <w:szCs w:val="32"/>
        </w:rPr>
        <w:t>万元，</w:t>
      </w:r>
      <w:r>
        <w:rPr>
          <w:rFonts w:hint="eastAsia" w:ascii="仿宋_GB2312" w:hAnsi="仿宋_GB2312" w:eastAsia="仿宋_GB2312" w:cs="仿宋_GB2312"/>
          <w:color w:val="auto"/>
          <w:sz w:val="32"/>
          <w:szCs w:val="32"/>
          <w:lang w:eastAsia="zh-CN"/>
        </w:rPr>
        <w:t>完成预算的</w:t>
      </w:r>
      <w:r>
        <w:rPr>
          <w:rFonts w:hint="eastAsia" w:ascii="仿宋_GB2312" w:hAnsi="仿宋_GB2312" w:eastAsia="仿宋_GB2312" w:cs="仿宋_GB2312"/>
          <w:color w:val="auto"/>
          <w:sz w:val="32"/>
          <w:szCs w:val="32"/>
          <w:lang w:val="en-US" w:eastAsia="zh-CN"/>
        </w:rPr>
        <w:t>16.1</w:t>
      </w:r>
      <w:r>
        <w:rPr>
          <w:rFonts w:hint="eastAsia" w:ascii="仿宋_GB2312" w:hAnsi="仿宋_GB2312" w:eastAsia="仿宋_GB2312" w:cs="仿宋_GB2312"/>
          <w:color w:val="auto"/>
          <w:sz w:val="32"/>
          <w:szCs w:val="32"/>
        </w:rPr>
        <w:t>%</w:t>
      </w: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color w:val="auto"/>
          <w:sz w:val="32"/>
          <w:szCs w:val="32"/>
          <w:lang w:val="en-US" w:eastAsia="zh-CN"/>
        </w:rPr>
        <w:t>同比下降67.3%；</w:t>
      </w:r>
    </w:p>
    <w:p>
      <w:pPr>
        <w:keepNext w:val="0"/>
        <w:keepLines w:val="0"/>
        <w:pageBreakBefore w:val="0"/>
        <w:widowControl w:val="0"/>
        <w:kinsoku/>
        <w:wordWrap/>
        <w:overflowPunct/>
        <w:topLinePunct w:val="0"/>
        <w:autoSpaceDE/>
        <w:autoSpaceDN/>
        <w:bidi w:val="0"/>
        <w:adjustRightInd/>
        <w:spacing w:line="560" w:lineRule="exact"/>
        <w:ind w:firstLine="640" w:firstLineChars="200"/>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●社会保障和就业支出</w:t>
      </w:r>
      <w:r>
        <w:rPr>
          <w:rFonts w:hint="eastAsia" w:ascii="仿宋_GB2312" w:hAnsi="仿宋_GB2312" w:eastAsia="仿宋_GB2312" w:cs="仿宋_GB2312"/>
          <w:color w:val="auto"/>
          <w:sz w:val="32"/>
          <w:szCs w:val="32"/>
          <w:lang w:val="en-US" w:eastAsia="zh-CN"/>
        </w:rPr>
        <w:t>12121万</w:t>
      </w:r>
      <w:r>
        <w:rPr>
          <w:rFonts w:hint="eastAsia" w:ascii="仿宋_GB2312" w:hAnsi="仿宋_GB2312" w:eastAsia="仿宋_GB2312" w:cs="仿宋_GB2312"/>
          <w:color w:val="auto"/>
          <w:sz w:val="32"/>
          <w:szCs w:val="32"/>
        </w:rPr>
        <w:t>元，</w:t>
      </w:r>
      <w:r>
        <w:rPr>
          <w:rFonts w:hint="eastAsia" w:ascii="仿宋_GB2312" w:hAnsi="仿宋_GB2312" w:eastAsia="仿宋_GB2312" w:cs="仿宋_GB2312"/>
          <w:color w:val="auto"/>
          <w:sz w:val="32"/>
          <w:szCs w:val="32"/>
          <w:lang w:eastAsia="zh-CN"/>
        </w:rPr>
        <w:t>完成预算的</w:t>
      </w:r>
      <w:r>
        <w:rPr>
          <w:rFonts w:hint="eastAsia" w:ascii="仿宋_GB2312" w:hAnsi="仿宋_GB2312" w:eastAsia="仿宋_GB2312" w:cs="仿宋_GB2312"/>
          <w:color w:val="auto"/>
          <w:sz w:val="32"/>
          <w:szCs w:val="32"/>
          <w:lang w:val="en-US" w:eastAsia="zh-CN"/>
        </w:rPr>
        <w:t>39.8</w:t>
      </w:r>
      <w:r>
        <w:rPr>
          <w:rFonts w:hint="eastAsia" w:ascii="仿宋_GB2312" w:hAnsi="仿宋_GB2312" w:eastAsia="仿宋_GB2312" w:cs="仿宋_GB2312"/>
          <w:color w:val="auto"/>
          <w:sz w:val="32"/>
          <w:szCs w:val="32"/>
        </w:rPr>
        <w:t>%</w:t>
      </w: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color w:val="auto"/>
          <w:sz w:val="32"/>
          <w:szCs w:val="32"/>
          <w:lang w:val="en-US" w:eastAsia="zh-CN"/>
        </w:rPr>
        <w:t>同比下降13.1%</w:t>
      </w:r>
      <w:r>
        <w:rPr>
          <w:rFonts w:hint="eastAsia" w:ascii="仿宋_GB2312" w:hAnsi="仿宋_GB2312" w:eastAsia="仿宋_GB2312" w:cs="仿宋_GB2312"/>
          <w:color w:val="auto"/>
          <w:sz w:val="32"/>
          <w:szCs w:val="32"/>
        </w:rPr>
        <w:t>；</w:t>
      </w:r>
    </w:p>
    <w:p>
      <w:pPr>
        <w:keepNext w:val="0"/>
        <w:keepLines w:val="0"/>
        <w:pageBreakBefore w:val="0"/>
        <w:widowControl w:val="0"/>
        <w:kinsoku/>
        <w:wordWrap/>
        <w:overflowPunct/>
        <w:topLinePunct w:val="0"/>
        <w:autoSpaceDE/>
        <w:autoSpaceDN/>
        <w:bidi w:val="0"/>
        <w:adjustRightInd/>
        <w:snapToGrid w:val="0"/>
        <w:spacing w:line="560" w:lineRule="exact"/>
        <w:ind w:left="0" w:leftChars="0" w:right="0" w:firstLine="640" w:firstLineChars="200"/>
        <w:jc w:val="both"/>
        <w:textAlignment w:val="auto"/>
        <w:outlineLvl w:val="9"/>
        <w:rPr>
          <w:rFonts w:hint="eastAsia" w:ascii="仿宋_GB2312" w:hAnsi="仿宋_GB2312" w:eastAsia="仿宋_GB2312" w:cs="仿宋_GB2312"/>
          <w:color w:val="auto"/>
          <w:sz w:val="32"/>
          <w:szCs w:val="32"/>
          <w:lang w:eastAsia="zh-CN"/>
        </w:rPr>
      </w:pPr>
      <w:r>
        <w:rPr>
          <w:rFonts w:hint="eastAsia" w:ascii="仿宋_GB2312" w:hAnsi="仿宋_GB2312" w:eastAsia="仿宋_GB2312" w:cs="仿宋_GB2312"/>
          <w:color w:val="auto"/>
          <w:sz w:val="32"/>
          <w:szCs w:val="32"/>
        </w:rPr>
        <w:t>●</w:t>
      </w:r>
      <w:r>
        <w:rPr>
          <w:rFonts w:hint="eastAsia" w:ascii="仿宋_GB2312" w:hAnsi="仿宋_GB2312" w:eastAsia="仿宋_GB2312" w:cs="仿宋_GB2312"/>
          <w:color w:val="auto"/>
          <w:sz w:val="32"/>
          <w:szCs w:val="32"/>
          <w:lang w:val="en-US" w:eastAsia="zh-CN"/>
        </w:rPr>
        <w:t>卫生健康</w:t>
      </w:r>
      <w:r>
        <w:rPr>
          <w:rFonts w:hint="eastAsia" w:ascii="仿宋_GB2312" w:hAnsi="仿宋_GB2312" w:eastAsia="仿宋_GB2312" w:cs="仿宋_GB2312"/>
          <w:color w:val="auto"/>
          <w:sz w:val="32"/>
          <w:szCs w:val="32"/>
        </w:rPr>
        <w:t>支出</w:t>
      </w:r>
      <w:r>
        <w:rPr>
          <w:rFonts w:hint="eastAsia" w:ascii="仿宋_GB2312" w:hAnsi="仿宋_GB2312" w:eastAsia="仿宋_GB2312" w:cs="仿宋_GB2312"/>
          <w:color w:val="auto"/>
          <w:sz w:val="32"/>
          <w:szCs w:val="32"/>
          <w:lang w:val="en-US" w:eastAsia="zh-CN"/>
        </w:rPr>
        <w:t>9595</w:t>
      </w:r>
      <w:r>
        <w:rPr>
          <w:rFonts w:hint="eastAsia" w:ascii="仿宋_GB2312" w:hAnsi="仿宋_GB2312" w:eastAsia="仿宋_GB2312" w:cs="仿宋_GB2312"/>
          <w:color w:val="auto"/>
          <w:sz w:val="32"/>
          <w:szCs w:val="32"/>
        </w:rPr>
        <w:t>万元，完成预算的</w:t>
      </w:r>
      <w:r>
        <w:rPr>
          <w:rFonts w:hint="eastAsia" w:ascii="仿宋_GB2312" w:hAnsi="仿宋_GB2312" w:eastAsia="仿宋_GB2312" w:cs="仿宋_GB2312"/>
          <w:color w:val="auto"/>
          <w:sz w:val="32"/>
          <w:szCs w:val="32"/>
          <w:lang w:val="en-US" w:eastAsia="zh-CN"/>
        </w:rPr>
        <w:t>39.7</w:t>
      </w:r>
      <w:r>
        <w:rPr>
          <w:rFonts w:hint="eastAsia" w:ascii="仿宋_GB2312" w:hAnsi="仿宋_GB2312" w:eastAsia="仿宋_GB2312" w:cs="仿宋_GB2312"/>
          <w:color w:val="auto"/>
          <w:sz w:val="32"/>
          <w:szCs w:val="32"/>
        </w:rPr>
        <w:t>%，同比</w:t>
      </w:r>
      <w:r>
        <w:rPr>
          <w:rFonts w:hint="eastAsia" w:ascii="仿宋_GB2312" w:hAnsi="仿宋_GB2312" w:eastAsia="仿宋_GB2312" w:cs="仿宋_GB2312"/>
          <w:color w:val="auto"/>
          <w:sz w:val="32"/>
          <w:szCs w:val="32"/>
          <w:lang w:eastAsia="zh-CN"/>
        </w:rPr>
        <w:t>上升</w:t>
      </w:r>
      <w:r>
        <w:rPr>
          <w:rFonts w:hint="eastAsia" w:ascii="仿宋_GB2312" w:hAnsi="仿宋_GB2312" w:eastAsia="仿宋_GB2312" w:cs="仿宋_GB2312"/>
          <w:color w:val="auto"/>
          <w:sz w:val="32"/>
          <w:szCs w:val="32"/>
          <w:lang w:val="en-US" w:eastAsia="zh-CN"/>
        </w:rPr>
        <w:t>47.6</w:t>
      </w:r>
      <w:r>
        <w:rPr>
          <w:rFonts w:hint="eastAsia" w:ascii="仿宋_GB2312" w:hAnsi="仿宋_GB2312" w:eastAsia="仿宋_GB2312" w:cs="仿宋_GB2312"/>
          <w:color w:val="auto"/>
          <w:sz w:val="32"/>
          <w:szCs w:val="32"/>
        </w:rPr>
        <w:t>%</w:t>
      </w:r>
      <w:r>
        <w:rPr>
          <w:rFonts w:hint="eastAsia" w:ascii="仿宋_GB2312" w:hAnsi="仿宋_GB2312" w:eastAsia="仿宋_GB2312" w:cs="仿宋_GB2312"/>
          <w:color w:val="auto"/>
          <w:sz w:val="32"/>
          <w:szCs w:val="32"/>
          <w:lang w:eastAsia="zh-CN"/>
        </w:rPr>
        <w:t>；</w:t>
      </w:r>
    </w:p>
    <w:p>
      <w:pPr>
        <w:keepNext w:val="0"/>
        <w:keepLines w:val="0"/>
        <w:pageBreakBefore w:val="0"/>
        <w:widowControl w:val="0"/>
        <w:kinsoku/>
        <w:wordWrap/>
        <w:overflowPunct/>
        <w:topLinePunct w:val="0"/>
        <w:autoSpaceDE/>
        <w:autoSpaceDN/>
        <w:bidi w:val="0"/>
        <w:adjustRightInd/>
        <w:snapToGrid w:val="0"/>
        <w:spacing w:line="560" w:lineRule="exact"/>
        <w:ind w:right="0" w:firstLine="640" w:firstLineChars="200"/>
        <w:jc w:val="both"/>
        <w:textAlignment w:val="auto"/>
        <w:outlineLvl w:val="9"/>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w:t>
      </w:r>
      <w:r>
        <w:rPr>
          <w:rFonts w:hint="eastAsia" w:ascii="仿宋_GB2312" w:hAnsi="仿宋_GB2312" w:eastAsia="仿宋_GB2312" w:cs="仿宋_GB2312"/>
          <w:color w:val="auto"/>
          <w:sz w:val="32"/>
          <w:szCs w:val="32"/>
          <w:lang w:eastAsia="zh-CN"/>
        </w:rPr>
        <w:t>节能环保</w:t>
      </w:r>
      <w:r>
        <w:rPr>
          <w:rFonts w:hint="eastAsia" w:ascii="仿宋_GB2312" w:hAnsi="仿宋_GB2312" w:eastAsia="仿宋_GB2312" w:cs="仿宋_GB2312"/>
          <w:color w:val="auto"/>
          <w:sz w:val="32"/>
          <w:szCs w:val="32"/>
        </w:rPr>
        <w:t>支出</w:t>
      </w:r>
      <w:r>
        <w:rPr>
          <w:rFonts w:hint="eastAsia" w:ascii="仿宋_GB2312" w:hAnsi="仿宋_GB2312" w:eastAsia="仿宋_GB2312" w:cs="仿宋_GB2312"/>
          <w:color w:val="auto"/>
          <w:sz w:val="32"/>
          <w:szCs w:val="32"/>
          <w:lang w:val="en-US" w:eastAsia="zh-CN"/>
        </w:rPr>
        <w:t>318</w:t>
      </w:r>
      <w:r>
        <w:rPr>
          <w:rFonts w:hint="eastAsia" w:ascii="仿宋_GB2312" w:hAnsi="仿宋_GB2312" w:eastAsia="仿宋_GB2312" w:cs="仿宋_GB2312"/>
          <w:color w:val="auto"/>
          <w:sz w:val="32"/>
          <w:szCs w:val="32"/>
        </w:rPr>
        <w:t>万元，</w:t>
      </w:r>
      <w:r>
        <w:rPr>
          <w:rFonts w:hint="eastAsia" w:ascii="仿宋_GB2312" w:hAnsi="仿宋_GB2312" w:eastAsia="仿宋_GB2312" w:cs="仿宋_GB2312"/>
          <w:color w:val="auto"/>
          <w:sz w:val="32"/>
          <w:szCs w:val="32"/>
          <w:lang w:eastAsia="zh-CN"/>
        </w:rPr>
        <w:t>完成预算的</w:t>
      </w:r>
      <w:r>
        <w:rPr>
          <w:rFonts w:hint="eastAsia" w:ascii="仿宋_GB2312" w:hAnsi="仿宋_GB2312" w:eastAsia="仿宋_GB2312" w:cs="仿宋_GB2312"/>
          <w:color w:val="auto"/>
          <w:sz w:val="32"/>
          <w:szCs w:val="32"/>
          <w:lang w:val="en-US" w:eastAsia="zh-CN"/>
        </w:rPr>
        <w:t>15.2</w:t>
      </w:r>
      <w:r>
        <w:rPr>
          <w:rFonts w:hint="eastAsia" w:ascii="仿宋_GB2312" w:hAnsi="仿宋_GB2312" w:eastAsia="仿宋_GB2312" w:cs="仿宋_GB2312"/>
          <w:color w:val="auto"/>
          <w:sz w:val="32"/>
          <w:szCs w:val="32"/>
        </w:rPr>
        <w:t>%</w:t>
      </w: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color w:val="auto"/>
          <w:sz w:val="32"/>
          <w:szCs w:val="32"/>
          <w:lang w:val="en-US" w:eastAsia="zh-CN"/>
        </w:rPr>
        <w:t>同比上升265.5%</w:t>
      </w:r>
      <w:r>
        <w:rPr>
          <w:rFonts w:hint="eastAsia" w:ascii="仿宋_GB2312" w:hAnsi="仿宋_GB2312" w:eastAsia="仿宋_GB2312" w:cs="仿宋_GB2312"/>
          <w:color w:val="auto"/>
          <w:sz w:val="32"/>
          <w:szCs w:val="32"/>
        </w:rPr>
        <w:t>；</w:t>
      </w:r>
    </w:p>
    <w:p>
      <w:pPr>
        <w:keepNext w:val="0"/>
        <w:keepLines w:val="0"/>
        <w:pageBreakBefore w:val="0"/>
        <w:widowControl w:val="0"/>
        <w:kinsoku/>
        <w:wordWrap/>
        <w:overflowPunct/>
        <w:topLinePunct w:val="0"/>
        <w:autoSpaceDE/>
        <w:autoSpaceDN/>
        <w:bidi w:val="0"/>
        <w:adjustRightInd/>
        <w:snapToGrid w:val="0"/>
        <w:spacing w:line="560" w:lineRule="exact"/>
        <w:ind w:right="0" w:firstLine="640" w:firstLineChars="200"/>
        <w:jc w:val="both"/>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rPr>
        <w:t>●城乡社区支出</w:t>
      </w:r>
      <w:r>
        <w:rPr>
          <w:rFonts w:hint="eastAsia" w:ascii="仿宋_GB2312" w:hAnsi="仿宋_GB2312" w:eastAsia="仿宋_GB2312" w:cs="仿宋_GB2312"/>
          <w:color w:val="auto"/>
          <w:sz w:val="32"/>
          <w:szCs w:val="32"/>
          <w:lang w:val="en-US" w:eastAsia="zh-CN"/>
        </w:rPr>
        <w:t>7196万</w:t>
      </w:r>
      <w:r>
        <w:rPr>
          <w:rFonts w:hint="eastAsia" w:ascii="仿宋_GB2312" w:hAnsi="仿宋_GB2312" w:eastAsia="仿宋_GB2312" w:cs="仿宋_GB2312"/>
          <w:color w:val="auto"/>
          <w:sz w:val="32"/>
          <w:szCs w:val="32"/>
        </w:rPr>
        <w:t>元，</w:t>
      </w:r>
      <w:r>
        <w:rPr>
          <w:rFonts w:hint="eastAsia" w:ascii="仿宋_GB2312" w:hAnsi="仿宋_GB2312" w:eastAsia="仿宋_GB2312" w:cs="仿宋_GB2312"/>
          <w:color w:val="auto"/>
          <w:sz w:val="32"/>
          <w:szCs w:val="32"/>
          <w:lang w:eastAsia="zh-CN"/>
        </w:rPr>
        <w:t>完成预算的</w:t>
      </w:r>
      <w:r>
        <w:rPr>
          <w:rFonts w:hint="eastAsia" w:ascii="仿宋_GB2312" w:hAnsi="仿宋_GB2312" w:eastAsia="仿宋_GB2312" w:cs="仿宋_GB2312"/>
          <w:color w:val="auto"/>
          <w:sz w:val="32"/>
          <w:szCs w:val="32"/>
          <w:lang w:val="en-US" w:eastAsia="zh-CN"/>
        </w:rPr>
        <w:t>37.1</w:t>
      </w:r>
      <w:r>
        <w:rPr>
          <w:rFonts w:hint="eastAsia" w:ascii="仿宋_GB2312" w:hAnsi="仿宋_GB2312" w:eastAsia="仿宋_GB2312" w:cs="仿宋_GB2312"/>
          <w:color w:val="auto"/>
          <w:sz w:val="32"/>
          <w:szCs w:val="32"/>
        </w:rPr>
        <w:t>%</w:t>
      </w: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color w:val="auto"/>
          <w:sz w:val="32"/>
          <w:szCs w:val="32"/>
          <w:lang w:val="en-US" w:eastAsia="zh-CN"/>
        </w:rPr>
        <w:t>同比下降36.9%；</w:t>
      </w:r>
    </w:p>
    <w:p>
      <w:pPr>
        <w:keepNext w:val="0"/>
        <w:keepLines w:val="0"/>
        <w:pageBreakBefore w:val="0"/>
        <w:widowControl w:val="0"/>
        <w:kinsoku/>
        <w:wordWrap/>
        <w:overflowPunct/>
        <w:topLinePunct w:val="0"/>
        <w:autoSpaceDE/>
        <w:autoSpaceDN/>
        <w:bidi w:val="0"/>
        <w:adjustRightInd/>
        <w:spacing w:line="560" w:lineRule="exact"/>
        <w:ind w:firstLine="640" w:firstLineChars="200"/>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●农林水支出</w:t>
      </w:r>
      <w:r>
        <w:rPr>
          <w:rFonts w:hint="eastAsia" w:ascii="仿宋_GB2312" w:hAnsi="仿宋_GB2312" w:eastAsia="仿宋_GB2312" w:cs="仿宋_GB2312"/>
          <w:color w:val="auto"/>
          <w:sz w:val="32"/>
          <w:szCs w:val="32"/>
          <w:lang w:val="en-US" w:eastAsia="zh-CN"/>
        </w:rPr>
        <w:t>4250</w:t>
      </w:r>
      <w:r>
        <w:rPr>
          <w:rFonts w:hint="eastAsia" w:ascii="仿宋_GB2312" w:hAnsi="仿宋_GB2312" w:eastAsia="仿宋_GB2312" w:cs="仿宋_GB2312"/>
          <w:color w:val="auto"/>
          <w:sz w:val="32"/>
          <w:szCs w:val="32"/>
        </w:rPr>
        <w:t>万元，</w:t>
      </w:r>
      <w:r>
        <w:rPr>
          <w:rFonts w:hint="eastAsia" w:ascii="仿宋_GB2312" w:hAnsi="仿宋_GB2312" w:eastAsia="仿宋_GB2312" w:cs="仿宋_GB2312"/>
          <w:color w:val="auto"/>
          <w:sz w:val="32"/>
          <w:szCs w:val="32"/>
          <w:lang w:eastAsia="zh-CN"/>
        </w:rPr>
        <w:t>完成预算的</w:t>
      </w:r>
      <w:r>
        <w:rPr>
          <w:rFonts w:hint="eastAsia" w:ascii="仿宋_GB2312" w:hAnsi="仿宋_GB2312" w:eastAsia="仿宋_GB2312" w:cs="仿宋_GB2312"/>
          <w:color w:val="auto"/>
          <w:sz w:val="32"/>
          <w:szCs w:val="32"/>
          <w:lang w:val="en-US" w:eastAsia="zh-CN"/>
        </w:rPr>
        <w:t>26.8</w:t>
      </w:r>
      <w:r>
        <w:rPr>
          <w:rFonts w:hint="eastAsia" w:ascii="仿宋_GB2312" w:hAnsi="仿宋_GB2312" w:eastAsia="仿宋_GB2312" w:cs="仿宋_GB2312"/>
          <w:color w:val="auto"/>
          <w:sz w:val="32"/>
          <w:szCs w:val="32"/>
        </w:rPr>
        <w:t>%</w:t>
      </w: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color w:val="auto"/>
          <w:sz w:val="32"/>
          <w:szCs w:val="32"/>
          <w:lang w:val="en-US" w:eastAsia="zh-CN"/>
        </w:rPr>
        <w:t>同比增长14.9%</w:t>
      </w:r>
      <w:r>
        <w:rPr>
          <w:rFonts w:hint="eastAsia" w:ascii="仿宋_GB2312" w:hAnsi="仿宋_GB2312" w:eastAsia="仿宋_GB2312" w:cs="仿宋_GB2312"/>
          <w:color w:val="auto"/>
          <w:sz w:val="32"/>
          <w:szCs w:val="32"/>
        </w:rPr>
        <w:t>；</w:t>
      </w:r>
    </w:p>
    <w:p>
      <w:pPr>
        <w:keepNext w:val="0"/>
        <w:keepLines w:val="0"/>
        <w:pageBreakBefore w:val="0"/>
        <w:widowControl w:val="0"/>
        <w:kinsoku/>
        <w:wordWrap/>
        <w:overflowPunct/>
        <w:topLinePunct w:val="0"/>
        <w:autoSpaceDE/>
        <w:autoSpaceDN/>
        <w:bidi w:val="0"/>
        <w:adjustRightInd/>
        <w:spacing w:line="560" w:lineRule="exact"/>
        <w:ind w:firstLine="640" w:firstLineChars="200"/>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w:t>
      </w:r>
      <w:r>
        <w:rPr>
          <w:rFonts w:hint="eastAsia" w:ascii="仿宋_GB2312" w:hAnsi="仿宋_GB2312" w:eastAsia="仿宋_GB2312" w:cs="仿宋_GB2312"/>
          <w:color w:val="auto"/>
          <w:sz w:val="32"/>
          <w:szCs w:val="32"/>
          <w:lang w:eastAsia="zh-CN"/>
        </w:rPr>
        <w:t>交通运输</w:t>
      </w:r>
      <w:r>
        <w:rPr>
          <w:rFonts w:hint="eastAsia" w:ascii="仿宋_GB2312" w:hAnsi="仿宋_GB2312" w:eastAsia="仿宋_GB2312" w:cs="仿宋_GB2312"/>
          <w:color w:val="auto"/>
          <w:sz w:val="32"/>
          <w:szCs w:val="32"/>
        </w:rPr>
        <w:t>支出</w:t>
      </w:r>
      <w:r>
        <w:rPr>
          <w:rFonts w:hint="eastAsia" w:ascii="仿宋_GB2312" w:hAnsi="仿宋_GB2312" w:eastAsia="仿宋_GB2312" w:cs="仿宋_GB2312"/>
          <w:color w:val="auto"/>
          <w:sz w:val="32"/>
          <w:szCs w:val="32"/>
          <w:lang w:val="en-US" w:eastAsia="zh-CN"/>
        </w:rPr>
        <w:t>4548</w:t>
      </w:r>
      <w:r>
        <w:rPr>
          <w:rFonts w:hint="eastAsia" w:ascii="仿宋_GB2312" w:hAnsi="仿宋_GB2312" w:eastAsia="仿宋_GB2312" w:cs="仿宋_GB2312"/>
          <w:color w:val="auto"/>
          <w:sz w:val="32"/>
          <w:szCs w:val="32"/>
        </w:rPr>
        <w:t>万元，</w:t>
      </w:r>
      <w:r>
        <w:rPr>
          <w:rFonts w:hint="eastAsia" w:ascii="仿宋_GB2312" w:hAnsi="仿宋_GB2312" w:eastAsia="仿宋_GB2312" w:cs="仿宋_GB2312"/>
          <w:color w:val="auto"/>
          <w:sz w:val="32"/>
          <w:szCs w:val="32"/>
          <w:lang w:eastAsia="zh-CN"/>
        </w:rPr>
        <w:t>完成预算的</w:t>
      </w:r>
      <w:r>
        <w:rPr>
          <w:rFonts w:hint="eastAsia" w:ascii="仿宋_GB2312" w:hAnsi="仿宋_GB2312" w:eastAsia="仿宋_GB2312" w:cs="仿宋_GB2312"/>
          <w:color w:val="auto"/>
          <w:sz w:val="32"/>
          <w:szCs w:val="32"/>
          <w:lang w:val="en-US" w:eastAsia="zh-CN"/>
        </w:rPr>
        <w:t>38.7</w:t>
      </w:r>
      <w:r>
        <w:rPr>
          <w:rFonts w:hint="eastAsia" w:ascii="仿宋_GB2312" w:hAnsi="仿宋_GB2312" w:eastAsia="仿宋_GB2312" w:cs="仿宋_GB2312"/>
          <w:color w:val="auto"/>
          <w:sz w:val="32"/>
          <w:szCs w:val="32"/>
        </w:rPr>
        <w:t>%</w:t>
      </w: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color w:val="auto"/>
          <w:sz w:val="32"/>
          <w:szCs w:val="32"/>
          <w:lang w:val="en-US" w:eastAsia="zh-CN"/>
        </w:rPr>
        <w:t>同比下降18.7%</w:t>
      </w:r>
      <w:r>
        <w:rPr>
          <w:rFonts w:hint="eastAsia" w:ascii="仿宋_GB2312" w:hAnsi="仿宋_GB2312" w:eastAsia="仿宋_GB2312" w:cs="仿宋_GB2312"/>
          <w:color w:val="auto"/>
          <w:sz w:val="32"/>
          <w:szCs w:val="32"/>
        </w:rPr>
        <w:t>；</w:t>
      </w:r>
    </w:p>
    <w:p>
      <w:pPr>
        <w:keepNext w:val="0"/>
        <w:keepLines w:val="0"/>
        <w:pageBreakBefore w:val="0"/>
        <w:widowControl w:val="0"/>
        <w:kinsoku/>
        <w:wordWrap/>
        <w:overflowPunct/>
        <w:topLinePunct w:val="0"/>
        <w:autoSpaceDE/>
        <w:autoSpaceDN/>
        <w:bidi w:val="0"/>
        <w:adjustRightInd/>
        <w:spacing w:line="560" w:lineRule="exact"/>
        <w:ind w:firstLine="640" w:firstLineChars="200"/>
        <w:textAlignment w:val="auto"/>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rPr>
        <w:t>●住房保障支出</w:t>
      </w:r>
      <w:r>
        <w:rPr>
          <w:rFonts w:hint="eastAsia" w:ascii="仿宋_GB2312" w:hAnsi="仿宋_GB2312" w:eastAsia="仿宋_GB2312" w:cs="仿宋_GB2312"/>
          <w:color w:val="auto"/>
          <w:sz w:val="32"/>
          <w:szCs w:val="32"/>
          <w:lang w:val="en-US" w:eastAsia="zh-CN"/>
        </w:rPr>
        <w:t>4586</w:t>
      </w:r>
      <w:r>
        <w:rPr>
          <w:rFonts w:hint="eastAsia" w:ascii="仿宋_GB2312" w:hAnsi="仿宋_GB2312" w:eastAsia="仿宋_GB2312" w:cs="仿宋_GB2312"/>
          <w:color w:val="auto"/>
          <w:sz w:val="32"/>
          <w:szCs w:val="32"/>
        </w:rPr>
        <w:t>万元，</w:t>
      </w:r>
      <w:r>
        <w:rPr>
          <w:rFonts w:hint="eastAsia" w:ascii="仿宋_GB2312" w:hAnsi="仿宋_GB2312" w:eastAsia="仿宋_GB2312" w:cs="仿宋_GB2312"/>
          <w:color w:val="auto"/>
          <w:sz w:val="32"/>
          <w:szCs w:val="32"/>
          <w:lang w:eastAsia="zh-CN"/>
        </w:rPr>
        <w:t>完成预算的</w:t>
      </w:r>
      <w:r>
        <w:rPr>
          <w:rFonts w:hint="eastAsia" w:ascii="仿宋_GB2312" w:hAnsi="仿宋_GB2312" w:eastAsia="仿宋_GB2312" w:cs="仿宋_GB2312"/>
          <w:color w:val="auto"/>
          <w:sz w:val="32"/>
          <w:szCs w:val="32"/>
          <w:lang w:val="en-US" w:eastAsia="zh-CN"/>
        </w:rPr>
        <w:t>28.9</w:t>
      </w:r>
      <w:r>
        <w:rPr>
          <w:rFonts w:hint="eastAsia" w:ascii="仿宋_GB2312" w:hAnsi="仿宋_GB2312" w:eastAsia="仿宋_GB2312" w:cs="仿宋_GB2312"/>
          <w:color w:val="auto"/>
          <w:sz w:val="32"/>
          <w:szCs w:val="32"/>
        </w:rPr>
        <w:t>%</w:t>
      </w: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color w:val="auto"/>
          <w:sz w:val="32"/>
          <w:szCs w:val="32"/>
          <w:lang w:val="en-US" w:eastAsia="zh-CN"/>
        </w:rPr>
        <w:t>同比下降52.9%</w:t>
      </w:r>
      <w:r>
        <w:rPr>
          <w:rFonts w:hint="eastAsia" w:ascii="仿宋_GB2312" w:hAnsi="仿宋_GB2312" w:eastAsia="仿宋_GB2312" w:cs="仿宋_GB2312"/>
          <w:color w:val="auto"/>
          <w:sz w:val="32"/>
          <w:szCs w:val="32"/>
          <w:lang w:eastAsia="zh-CN"/>
        </w:rPr>
        <w:t>；</w:t>
      </w:r>
    </w:p>
    <w:p>
      <w:pPr>
        <w:keepNext w:val="0"/>
        <w:keepLines w:val="0"/>
        <w:pageBreakBefore w:val="0"/>
        <w:widowControl w:val="0"/>
        <w:kinsoku/>
        <w:wordWrap/>
        <w:overflowPunct/>
        <w:topLinePunct w:val="0"/>
        <w:autoSpaceDE/>
        <w:autoSpaceDN/>
        <w:bidi w:val="0"/>
        <w:adjustRightInd/>
        <w:snapToGrid w:val="0"/>
        <w:spacing w:line="560" w:lineRule="exact"/>
        <w:ind w:right="0" w:firstLine="640" w:firstLineChars="200"/>
        <w:jc w:val="both"/>
        <w:textAlignment w:val="auto"/>
        <w:outlineLvl w:val="9"/>
        <w:rPr>
          <w:rFonts w:hint="eastAsia" w:ascii="仿宋_GB2312" w:eastAsia="仿宋_GB2312" w:cs="仿宋_GB2312"/>
          <w:color w:val="auto"/>
          <w:sz w:val="32"/>
          <w:szCs w:val="32"/>
        </w:rPr>
      </w:pPr>
      <w:r>
        <w:rPr>
          <w:rFonts w:hint="eastAsia" w:ascii="仿宋_GB2312" w:hAnsi="仿宋_GB2312" w:eastAsia="仿宋_GB2312" w:cs="仿宋_GB2312"/>
          <w:b w:val="0"/>
          <w:bCs w:val="0"/>
          <w:color w:val="auto"/>
          <w:sz w:val="32"/>
          <w:szCs w:val="32"/>
          <w:lang w:val="en-US" w:eastAsia="zh-CN"/>
        </w:rPr>
        <w:t>1-6月份</w:t>
      </w:r>
      <w:r>
        <w:rPr>
          <w:rFonts w:hint="eastAsia" w:ascii="仿宋_GB2312" w:eastAsia="仿宋_GB2312" w:cs="仿宋_GB2312"/>
          <w:color w:val="auto"/>
          <w:sz w:val="32"/>
          <w:szCs w:val="32"/>
        </w:rPr>
        <w:t>，全区用于民生的教育、文化、社保、医疗、节能环保、城乡社区事务、农林水、交通运输和住房保障支出</w:t>
      </w:r>
      <w:r>
        <w:rPr>
          <w:rFonts w:hint="eastAsia" w:ascii="仿宋_GB2312" w:eastAsia="仿宋_GB2312" w:cs="仿宋_GB2312"/>
          <w:color w:val="auto"/>
          <w:sz w:val="32"/>
          <w:szCs w:val="32"/>
          <w:lang w:val="en-US" w:eastAsia="zh-CN"/>
        </w:rPr>
        <w:t>62075万</w:t>
      </w:r>
      <w:r>
        <w:rPr>
          <w:rFonts w:hint="eastAsia" w:ascii="仿宋_GB2312" w:eastAsia="仿宋_GB2312" w:cs="仿宋_GB2312"/>
          <w:color w:val="auto"/>
          <w:sz w:val="32"/>
          <w:szCs w:val="32"/>
        </w:rPr>
        <w:t>元，占一般公共预算支出的</w:t>
      </w:r>
      <w:r>
        <w:rPr>
          <w:rFonts w:hint="eastAsia" w:ascii="仿宋_GB2312" w:eastAsia="仿宋_GB2312" w:cs="仿宋_GB2312"/>
          <w:color w:val="auto"/>
          <w:sz w:val="32"/>
          <w:szCs w:val="32"/>
          <w:lang w:val="en-US" w:eastAsia="zh-CN"/>
        </w:rPr>
        <w:t>64</w:t>
      </w:r>
      <w:r>
        <w:rPr>
          <w:rFonts w:hint="eastAsia" w:ascii="仿宋_GB2312" w:eastAsia="仿宋_GB2312" w:cs="仿宋_GB2312"/>
          <w:color w:val="auto"/>
          <w:sz w:val="32"/>
          <w:szCs w:val="32"/>
        </w:rPr>
        <w:t>%，同比</w:t>
      </w:r>
      <w:r>
        <w:rPr>
          <w:rFonts w:hint="eastAsia" w:ascii="仿宋_GB2312" w:eastAsia="仿宋_GB2312" w:cs="仿宋_GB2312"/>
          <w:color w:val="auto"/>
          <w:sz w:val="32"/>
          <w:szCs w:val="32"/>
          <w:lang w:val="en-US" w:eastAsia="zh-CN"/>
        </w:rPr>
        <w:t>下降15.4</w:t>
      </w:r>
      <w:r>
        <w:rPr>
          <w:rFonts w:hint="eastAsia" w:ascii="仿宋_GB2312" w:eastAsia="仿宋_GB2312" w:cs="仿宋_GB2312"/>
          <w:color w:val="auto"/>
          <w:sz w:val="32"/>
          <w:szCs w:val="32"/>
        </w:rPr>
        <w:t>%。</w:t>
      </w:r>
    </w:p>
    <w:p>
      <w:pPr>
        <w:keepNext w:val="0"/>
        <w:keepLines w:val="0"/>
        <w:pageBreakBefore w:val="0"/>
        <w:widowControl w:val="0"/>
        <w:kinsoku/>
        <w:wordWrap/>
        <w:overflowPunct/>
        <w:topLinePunct w:val="0"/>
        <w:autoSpaceDE/>
        <w:autoSpaceDN/>
        <w:bidi w:val="0"/>
        <w:adjustRightInd/>
        <w:snapToGrid w:val="0"/>
        <w:spacing w:line="560" w:lineRule="exact"/>
        <w:ind w:left="0" w:leftChars="0" w:right="0" w:firstLine="470" w:firstLineChars="147"/>
        <w:jc w:val="both"/>
        <w:textAlignment w:val="auto"/>
        <w:rPr>
          <w:rFonts w:ascii="楷体_GB2312" w:eastAsia="楷体_GB2312"/>
          <w:b w:val="0"/>
          <w:bCs w:val="0"/>
          <w:color w:val="auto"/>
          <w:sz w:val="32"/>
          <w:szCs w:val="32"/>
        </w:rPr>
      </w:pPr>
      <w:r>
        <w:rPr>
          <w:rFonts w:hint="eastAsia" w:ascii="楷体_GB2312" w:eastAsia="楷体_GB2312" w:cs="楷体_GB2312"/>
          <w:b w:val="0"/>
          <w:bCs w:val="0"/>
          <w:color w:val="auto"/>
          <w:sz w:val="32"/>
          <w:szCs w:val="32"/>
        </w:rPr>
        <w:t>（二）</w:t>
      </w:r>
      <w:r>
        <w:rPr>
          <w:rFonts w:ascii="楷体_GB2312" w:eastAsia="楷体_GB2312" w:cs="楷体_GB2312"/>
          <w:b w:val="0"/>
          <w:bCs w:val="0"/>
          <w:color w:val="auto"/>
          <w:sz w:val="32"/>
          <w:szCs w:val="32"/>
        </w:rPr>
        <w:t>1-6</w:t>
      </w:r>
      <w:r>
        <w:rPr>
          <w:rFonts w:hint="eastAsia" w:ascii="楷体_GB2312" w:eastAsia="楷体_GB2312" w:cs="楷体_GB2312"/>
          <w:b w:val="0"/>
          <w:bCs w:val="0"/>
          <w:color w:val="auto"/>
          <w:sz w:val="32"/>
          <w:szCs w:val="32"/>
        </w:rPr>
        <w:t>月份政府性基金预算执行情况</w:t>
      </w:r>
    </w:p>
    <w:p>
      <w:pPr>
        <w:keepNext w:val="0"/>
        <w:keepLines w:val="0"/>
        <w:pageBreakBefore w:val="0"/>
        <w:widowControl w:val="0"/>
        <w:kinsoku/>
        <w:wordWrap/>
        <w:overflowPunct/>
        <w:topLinePunct w:val="0"/>
        <w:autoSpaceDE/>
        <w:autoSpaceDN/>
        <w:bidi w:val="0"/>
        <w:adjustRightInd/>
        <w:snapToGrid w:val="0"/>
        <w:spacing w:line="560" w:lineRule="exact"/>
        <w:ind w:left="0" w:leftChars="0" w:right="0" w:firstLine="640" w:firstLineChars="200"/>
        <w:jc w:val="both"/>
        <w:textAlignment w:val="auto"/>
        <w:outlineLvl w:val="9"/>
        <w:rPr>
          <w:rFonts w:hint="eastAsia" w:ascii="仿宋_GB2312" w:eastAsia="仿宋_GB2312" w:cs="仿宋_GB2312"/>
          <w:color w:val="auto"/>
          <w:sz w:val="32"/>
          <w:szCs w:val="32"/>
        </w:rPr>
      </w:pPr>
      <w:r>
        <w:rPr>
          <w:rFonts w:hint="eastAsia" w:ascii="仿宋_GB2312" w:eastAsia="仿宋_GB2312" w:cs="仿宋_GB2312"/>
          <w:color w:val="auto"/>
          <w:sz w:val="32"/>
          <w:szCs w:val="32"/>
          <w:lang w:val="en-US" w:eastAsia="zh-CN"/>
        </w:rPr>
        <w:t>区级</w:t>
      </w:r>
      <w:r>
        <w:rPr>
          <w:rFonts w:hint="eastAsia" w:ascii="仿宋_GB2312" w:eastAsia="仿宋_GB2312" w:cs="仿宋_GB2312"/>
          <w:color w:val="auto"/>
          <w:sz w:val="32"/>
          <w:szCs w:val="32"/>
        </w:rPr>
        <w:t>政府性基金年初预算收入为</w:t>
      </w:r>
      <w:r>
        <w:rPr>
          <w:rFonts w:hint="eastAsia" w:ascii="仿宋_GB2312" w:eastAsia="仿宋_GB2312" w:cs="仿宋_GB2312"/>
          <w:color w:val="auto"/>
          <w:sz w:val="32"/>
          <w:szCs w:val="32"/>
          <w:lang w:val="en-US" w:eastAsia="zh-CN"/>
        </w:rPr>
        <w:t>448</w:t>
      </w:r>
      <w:r>
        <w:rPr>
          <w:rFonts w:hint="eastAsia" w:ascii="仿宋_GB2312" w:eastAsia="仿宋_GB2312" w:cs="仿宋_GB2312"/>
          <w:color w:val="auto"/>
          <w:sz w:val="32"/>
          <w:szCs w:val="32"/>
        </w:rPr>
        <w:t>万元，1-6月</w:t>
      </w:r>
      <w:r>
        <w:rPr>
          <w:rFonts w:hint="eastAsia" w:ascii="仿宋_GB2312" w:eastAsia="仿宋_GB2312" w:cs="仿宋_GB2312"/>
          <w:color w:val="auto"/>
          <w:sz w:val="32"/>
          <w:szCs w:val="32"/>
          <w:lang w:val="en-US" w:eastAsia="zh-CN"/>
        </w:rPr>
        <w:t>份，</w:t>
      </w:r>
      <w:r>
        <w:rPr>
          <w:rFonts w:hint="eastAsia" w:ascii="仿宋_GB2312" w:eastAsia="仿宋_GB2312" w:cs="仿宋_GB2312"/>
          <w:color w:val="auto"/>
          <w:sz w:val="32"/>
          <w:szCs w:val="32"/>
        </w:rPr>
        <w:t>政府性基金实际收入完成</w:t>
      </w:r>
      <w:r>
        <w:rPr>
          <w:rFonts w:hint="eastAsia" w:ascii="仿宋_GB2312" w:eastAsia="仿宋_GB2312" w:cs="仿宋_GB2312"/>
          <w:color w:val="auto"/>
          <w:sz w:val="32"/>
          <w:szCs w:val="32"/>
          <w:lang w:val="en-US" w:eastAsia="zh-CN"/>
        </w:rPr>
        <w:t>0</w:t>
      </w:r>
      <w:r>
        <w:rPr>
          <w:rFonts w:hint="eastAsia" w:ascii="仿宋_GB2312" w:eastAsia="仿宋_GB2312" w:cs="仿宋_GB2312"/>
          <w:color w:val="auto"/>
          <w:sz w:val="32"/>
          <w:szCs w:val="32"/>
        </w:rPr>
        <w:t>万元。</w:t>
      </w:r>
    </w:p>
    <w:p>
      <w:pPr>
        <w:keepNext w:val="0"/>
        <w:keepLines w:val="0"/>
        <w:pageBreakBefore w:val="0"/>
        <w:widowControl w:val="0"/>
        <w:kinsoku/>
        <w:wordWrap/>
        <w:overflowPunct/>
        <w:topLinePunct w:val="0"/>
        <w:autoSpaceDE/>
        <w:autoSpaceDN/>
        <w:bidi w:val="0"/>
        <w:adjustRightInd/>
        <w:snapToGrid w:val="0"/>
        <w:spacing w:line="560" w:lineRule="exact"/>
        <w:ind w:left="0" w:leftChars="0" w:right="0" w:firstLine="640" w:firstLineChars="200"/>
        <w:jc w:val="both"/>
        <w:textAlignment w:val="auto"/>
        <w:outlineLvl w:val="9"/>
        <w:rPr>
          <w:rFonts w:hint="eastAsia" w:ascii="仿宋_GB2312" w:eastAsia="仿宋_GB2312" w:cs="仿宋_GB2312"/>
          <w:color w:val="auto"/>
          <w:sz w:val="32"/>
          <w:szCs w:val="32"/>
          <w:lang w:eastAsia="zh-CN"/>
        </w:rPr>
      </w:pPr>
      <w:r>
        <w:rPr>
          <w:rFonts w:hint="eastAsia" w:ascii="仿宋_GB2312" w:eastAsia="仿宋_GB2312" w:cs="仿宋_GB2312"/>
          <w:color w:val="auto"/>
          <w:sz w:val="32"/>
          <w:szCs w:val="32"/>
          <w:lang w:val="en-US" w:eastAsia="zh-CN"/>
        </w:rPr>
        <w:t>区级</w:t>
      </w:r>
      <w:r>
        <w:rPr>
          <w:rFonts w:hint="eastAsia" w:ascii="仿宋_GB2312" w:eastAsia="仿宋_GB2312" w:cs="仿宋_GB2312"/>
          <w:color w:val="auto"/>
          <w:sz w:val="32"/>
          <w:szCs w:val="32"/>
        </w:rPr>
        <w:t>政府性基金年初预算支出为</w:t>
      </w:r>
      <w:r>
        <w:rPr>
          <w:rFonts w:hint="eastAsia" w:ascii="仿宋_GB2312" w:eastAsia="仿宋_GB2312" w:cs="仿宋_GB2312"/>
          <w:color w:val="auto"/>
          <w:sz w:val="32"/>
          <w:szCs w:val="32"/>
          <w:lang w:val="en-US" w:eastAsia="zh-CN"/>
        </w:rPr>
        <w:t>49916万</w:t>
      </w:r>
      <w:r>
        <w:rPr>
          <w:rFonts w:hint="eastAsia" w:ascii="仿宋_GB2312" w:eastAsia="仿宋_GB2312" w:cs="仿宋_GB2312"/>
          <w:color w:val="auto"/>
          <w:sz w:val="32"/>
          <w:szCs w:val="32"/>
        </w:rPr>
        <w:t>元，1-6月</w:t>
      </w:r>
      <w:r>
        <w:rPr>
          <w:rFonts w:hint="eastAsia" w:ascii="仿宋_GB2312" w:eastAsia="仿宋_GB2312" w:cs="仿宋_GB2312"/>
          <w:color w:val="auto"/>
          <w:sz w:val="32"/>
          <w:szCs w:val="32"/>
          <w:lang w:val="en-US" w:eastAsia="zh-CN"/>
        </w:rPr>
        <w:t>份，</w:t>
      </w:r>
      <w:r>
        <w:rPr>
          <w:rFonts w:hint="eastAsia" w:ascii="仿宋_GB2312" w:eastAsia="仿宋_GB2312" w:cs="仿宋_GB2312"/>
          <w:color w:val="auto"/>
          <w:sz w:val="32"/>
          <w:szCs w:val="32"/>
        </w:rPr>
        <w:t>政府性基金实际支出完成</w:t>
      </w:r>
      <w:r>
        <w:rPr>
          <w:rFonts w:hint="eastAsia" w:ascii="仿宋_GB2312" w:eastAsia="仿宋_GB2312" w:cs="仿宋_GB2312"/>
          <w:color w:val="auto"/>
          <w:sz w:val="32"/>
          <w:szCs w:val="32"/>
          <w:lang w:val="en-US" w:eastAsia="zh-CN"/>
        </w:rPr>
        <w:t>30486</w:t>
      </w:r>
      <w:r>
        <w:rPr>
          <w:rFonts w:hint="eastAsia" w:ascii="仿宋_GB2312" w:eastAsia="仿宋_GB2312" w:cs="仿宋_GB2312"/>
          <w:color w:val="auto"/>
          <w:sz w:val="32"/>
          <w:szCs w:val="32"/>
        </w:rPr>
        <w:t>万元，</w:t>
      </w:r>
      <w:r>
        <w:rPr>
          <w:rFonts w:hint="eastAsia" w:ascii="仿宋_GB2312" w:eastAsia="仿宋_GB2312" w:cs="仿宋_GB2312"/>
          <w:color w:val="auto"/>
          <w:sz w:val="32"/>
          <w:szCs w:val="32"/>
          <w:lang w:eastAsia="zh-CN"/>
        </w:rPr>
        <w:t>完成调整</w:t>
      </w:r>
      <w:r>
        <w:rPr>
          <w:rFonts w:hint="eastAsia" w:ascii="仿宋_GB2312" w:eastAsia="仿宋_GB2312" w:cs="仿宋_GB2312"/>
          <w:color w:val="auto"/>
          <w:sz w:val="32"/>
          <w:szCs w:val="32"/>
        </w:rPr>
        <w:t>预算</w:t>
      </w:r>
      <w:r>
        <w:rPr>
          <w:rFonts w:hint="eastAsia" w:ascii="仿宋_GB2312" w:eastAsia="仿宋_GB2312" w:cs="仿宋_GB2312"/>
          <w:color w:val="auto"/>
          <w:sz w:val="32"/>
          <w:szCs w:val="32"/>
          <w:lang w:eastAsia="zh-CN"/>
        </w:rPr>
        <w:t>数</w:t>
      </w:r>
      <w:r>
        <w:rPr>
          <w:rFonts w:hint="eastAsia" w:ascii="仿宋_GB2312" w:eastAsia="仿宋_GB2312" w:cs="仿宋_GB2312"/>
          <w:color w:val="auto"/>
          <w:sz w:val="32"/>
          <w:szCs w:val="32"/>
          <w:lang w:val="en-US" w:eastAsia="zh-CN"/>
        </w:rPr>
        <w:t>92574万元</w:t>
      </w:r>
      <w:r>
        <w:rPr>
          <w:rFonts w:hint="eastAsia" w:ascii="仿宋_GB2312" w:eastAsia="仿宋_GB2312" w:cs="仿宋_GB2312"/>
          <w:color w:val="auto"/>
          <w:sz w:val="32"/>
          <w:szCs w:val="32"/>
        </w:rPr>
        <w:t>的</w:t>
      </w:r>
      <w:r>
        <w:rPr>
          <w:rFonts w:hint="eastAsia" w:ascii="仿宋_GB2312" w:eastAsia="仿宋_GB2312" w:cs="仿宋_GB2312"/>
          <w:color w:val="auto"/>
          <w:sz w:val="32"/>
          <w:szCs w:val="32"/>
          <w:lang w:val="en-US" w:eastAsia="zh-CN"/>
        </w:rPr>
        <w:t>32.9</w:t>
      </w:r>
      <w:r>
        <w:rPr>
          <w:rFonts w:hint="eastAsia" w:ascii="仿宋_GB2312" w:eastAsia="仿宋_GB2312" w:cs="仿宋_GB2312"/>
          <w:color w:val="auto"/>
          <w:sz w:val="32"/>
          <w:szCs w:val="32"/>
        </w:rPr>
        <w:t>%。</w:t>
      </w:r>
    </w:p>
    <w:p>
      <w:pPr>
        <w:keepNext w:val="0"/>
        <w:keepLines w:val="0"/>
        <w:pageBreakBefore w:val="0"/>
        <w:widowControl w:val="0"/>
        <w:kinsoku/>
        <w:wordWrap/>
        <w:overflowPunct/>
        <w:topLinePunct w:val="0"/>
        <w:autoSpaceDE/>
        <w:autoSpaceDN/>
        <w:bidi w:val="0"/>
        <w:adjustRightInd/>
        <w:snapToGrid w:val="0"/>
        <w:spacing w:line="560" w:lineRule="exact"/>
        <w:ind w:left="0" w:leftChars="0" w:right="0" w:firstLine="470" w:firstLineChars="147"/>
        <w:jc w:val="both"/>
        <w:textAlignment w:val="auto"/>
        <w:rPr>
          <w:rFonts w:ascii="楷体_GB2312" w:eastAsia="楷体_GB2312"/>
          <w:b w:val="0"/>
          <w:bCs w:val="0"/>
          <w:color w:val="auto"/>
          <w:sz w:val="32"/>
          <w:szCs w:val="32"/>
        </w:rPr>
      </w:pPr>
      <w:r>
        <w:rPr>
          <w:rFonts w:hint="eastAsia" w:ascii="楷体_GB2312" w:eastAsia="楷体_GB2312" w:cs="楷体_GB2312"/>
          <w:b w:val="0"/>
          <w:bCs w:val="0"/>
          <w:color w:val="auto"/>
          <w:sz w:val="32"/>
          <w:szCs w:val="32"/>
        </w:rPr>
        <w:t>（三）</w:t>
      </w:r>
      <w:r>
        <w:rPr>
          <w:rFonts w:ascii="楷体_GB2312" w:eastAsia="楷体_GB2312" w:cs="楷体_GB2312"/>
          <w:b w:val="0"/>
          <w:bCs w:val="0"/>
          <w:color w:val="auto"/>
          <w:sz w:val="32"/>
          <w:szCs w:val="32"/>
        </w:rPr>
        <w:t>1-6</w:t>
      </w:r>
      <w:r>
        <w:rPr>
          <w:rFonts w:hint="eastAsia" w:ascii="楷体_GB2312" w:eastAsia="楷体_GB2312" w:cs="楷体_GB2312"/>
          <w:b w:val="0"/>
          <w:bCs w:val="0"/>
          <w:color w:val="auto"/>
          <w:sz w:val="32"/>
          <w:szCs w:val="32"/>
        </w:rPr>
        <w:t>月份社会保险基金预算执行情况</w:t>
      </w:r>
    </w:p>
    <w:p>
      <w:pPr>
        <w:keepNext w:val="0"/>
        <w:keepLines w:val="0"/>
        <w:pageBreakBefore w:val="0"/>
        <w:widowControl w:val="0"/>
        <w:kinsoku/>
        <w:wordWrap/>
        <w:overflowPunct/>
        <w:topLinePunct w:val="0"/>
        <w:autoSpaceDE/>
        <w:autoSpaceDN/>
        <w:bidi w:val="0"/>
        <w:adjustRightInd/>
        <w:snapToGrid w:val="0"/>
        <w:spacing w:line="560" w:lineRule="exact"/>
        <w:ind w:left="0" w:leftChars="0" w:right="0" w:firstLine="640" w:firstLineChars="200"/>
        <w:jc w:val="both"/>
        <w:textAlignment w:val="auto"/>
        <w:outlineLvl w:val="9"/>
        <w:rPr>
          <w:rFonts w:hint="eastAsia" w:ascii="仿宋_GB2312" w:eastAsia="仿宋_GB2312" w:cs="仿宋_GB2312"/>
          <w:color w:val="auto"/>
          <w:sz w:val="32"/>
          <w:szCs w:val="32"/>
          <w:lang w:val="en-US" w:eastAsia="zh-CN"/>
        </w:rPr>
      </w:pPr>
      <w:r>
        <w:rPr>
          <w:rFonts w:hint="eastAsia" w:ascii="仿宋_GB2312" w:eastAsia="仿宋_GB2312" w:cs="仿宋_GB2312"/>
          <w:color w:val="auto"/>
          <w:sz w:val="32"/>
          <w:szCs w:val="32"/>
        </w:rPr>
        <w:t>区级社会保险基金年初预算收入为</w:t>
      </w:r>
      <w:r>
        <w:rPr>
          <w:rFonts w:hint="eastAsia" w:ascii="仿宋_GB2312" w:eastAsia="仿宋_GB2312" w:cs="仿宋_GB2312"/>
          <w:color w:val="auto"/>
          <w:sz w:val="32"/>
          <w:szCs w:val="32"/>
          <w:lang w:val="en-US" w:eastAsia="zh-CN"/>
        </w:rPr>
        <w:t>50447万</w:t>
      </w:r>
      <w:r>
        <w:rPr>
          <w:rFonts w:hint="eastAsia" w:ascii="仿宋_GB2312" w:eastAsia="仿宋_GB2312" w:cs="仿宋_GB2312"/>
          <w:color w:val="auto"/>
          <w:sz w:val="32"/>
          <w:szCs w:val="32"/>
        </w:rPr>
        <w:t>元，1-6月</w:t>
      </w:r>
      <w:r>
        <w:rPr>
          <w:rFonts w:hint="eastAsia" w:ascii="仿宋_GB2312" w:eastAsia="仿宋_GB2312" w:cs="仿宋_GB2312"/>
          <w:color w:val="auto"/>
          <w:sz w:val="32"/>
          <w:szCs w:val="32"/>
          <w:lang w:val="en-US" w:eastAsia="zh-CN"/>
        </w:rPr>
        <w:t>份，</w:t>
      </w:r>
      <w:r>
        <w:rPr>
          <w:rFonts w:hint="eastAsia" w:ascii="仿宋_GB2312" w:eastAsia="仿宋_GB2312" w:cs="仿宋_GB2312"/>
          <w:color w:val="auto"/>
          <w:sz w:val="32"/>
          <w:szCs w:val="32"/>
        </w:rPr>
        <w:t>社会保险基金实际收入完成</w:t>
      </w:r>
      <w:r>
        <w:rPr>
          <w:rFonts w:hint="eastAsia" w:ascii="仿宋_GB2312" w:eastAsia="仿宋_GB2312" w:cs="仿宋_GB2312"/>
          <w:color w:val="auto"/>
          <w:sz w:val="32"/>
          <w:szCs w:val="32"/>
          <w:lang w:val="en-US" w:eastAsia="zh-CN"/>
        </w:rPr>
        <w:t>24023.8万</w:t>
      </w:r>
      <w:r>
        <w:rPr>
          <w:rFonts w:hint="eastAsia" w:ascii="仿宋_GB2312" w:eastAsia="仿宋_GB2312" w:cs="仿宋_GB2312"/>
          <w:color w:val="auto"/>
          <w:sz w:val="32"/>
          <w:szCs w:val="32"/>
        </w:rPr>
        <w:t>元，为</w:t>
      </w:r>
      <w:r>
        <w:rPr>
          <w:rFonts w:hint="eastAsia" w:ascii="仿宋_GB2312" w:eastAsia="仿宋_GB2312" w:cs="仿宋_GB2312"/>
          <w:color w:val="auto"/>
          <w:sz w:val="32"/>
          <w:szCs w:val="32"/>
          <w:lang w:val="en-US" w:eastAsia="zh-CN"/>
        </w:rPr>
        <w:t>年初</w:t>
      </w:r>
      <w:r>
        <w:rPr>
          <w:rFonts w:hint="eastAsia" w:ascii="仿宋_GB2312" w:eastAsia="仿宋_GB2312" w:cs="仿宋_GB2312"/>
          <w:color w:val="auto"/>
          <w:sz w:val="32"/>
          <w:szCs w:val="32"/>
        </w:rPr>
        <w:t>预算的</w:t>
      </w:r>
      <w:r>
        <w:rPr>
          <w:rFonts w:hint="eastAsia" w:ascii="仿宋_GB2312" w:eastAsia="仿宋_GB2312" w:cs="仿宋_GB2312"/>
          <w:color w:val="auto"/>
          <w:sz w:val="32"/>
          <w:szCs w:val="32"/>
          <w:lang w:val="en-US" w:eastAsia="zh-CN"/>
        </w:rPr>
        <w:t>47.62</w:t>
      </w:r>
      <w:r>
        <w:rPr>
          <w:rFonts w:hint="eastAsia" w:ascii="仿宋_GB2312" w:eastAsia="仿宋_GB2312" w:cs="仿宋_GB2312"/>
          <w:color w:val="auto"/>
          <w:sz w:val="32"/>
          <w:szCs w:val="32"/>
        </w:rPr>
        <w:t>%；</w:t>
      </w:r>
    </w:p>
    <w:p>
      <w:pPr>
        <w:keepNext w:val="0"/>
        <w:keepLines w:val="0"/>
        <w:pageBreakBefore w:val="0"/>
        <w:widowControl w:val="0"/>
        <w:kinsoku/>
        <w:wordWrap/>
        <w:overflowPunct/>
        <w:topLinePunct w:val="0"/>
        <w:autoSpaceDE/>
        <w:autoSpaceDN/>
        <w:bidi w:val="0"/>
        <w:adjustRightInd/>
        <w:snapToGrid w:val="0"/>
        <w:spacing w:line="560" w:lineRule="exact"/>
        <w:ind w:left="0" w:leftChars="0" w:right="0" w:firstLine="640" w:firstLineChars="200"/>
        <w:jc w:val="both"/>
        <w:textAlignment w:val="auto"/>
        <w:outlineLvl w:val="9"/>
        <w:rPr>
          <w:rFonts w:hint="eastAsia" w:ascii="仿宋_GB2312" w:eastAsia="仿宋_GB2312" w:cs="仿宋_GB2312"/>
          <w:color w:val="FF0000"/>
          <w:sz w:val="32"/>
          <w:szCs w:val="32"/>
        </w:rPr>
      </w:pPr>
      <w:r>
        <w:rPr>
          <w:rFonts w:hint="eastAsia" w:ascii="仿宋_GB2312" w:eastAsia="仿宋_GB2312" w:cs="仿宋_GB2312"/>
          <w:color w:val="auto"/>
          <w:sz w:val="32"/>
          <w:szCs w:val="32"/>
        </w:rPr>
        <w:t>区级社会保险基金年初预算支出为</w:t>
      </w:r>
      <w:r>
        <w:rPr>
          <w:rFonts w:hint="eastAsia" w:ascii="仿宋_GB2312" w:eastAsia="仿宋_GB2312" w:cs="仿宋_GB2312"/>
          <w:color w:val="auto"/>
          <w:sz w:val="32"/>
          <w:szCs w:val="32"/>
          <w:lang w:val="en-US" w:eastAsia="zh-CN"/>
        </w:rPr>
        <w:t>63345万</w:t>
      </w:r>
      <w:r>
        <w:rPr>
          <w:rFonts w:hint="eastAsia" w:ascii="仿宋_GB2312" w:eastAsia="仿宋_GB2312" w:cs="仿宋_GB2312"/>
          <w:color w:val="auto"/>
          <w:sz w:val="32"/>
          <w:szCs w:val="32"/>
        </w:rPr>
        <w:t>元，1-6月</w:t>
      </w:r>
      <w:r>
        <w:rPr>
          <w:rFonts w:hint="eastAsia" w:ascii="仿宋_GB2312" w:eastAsia="仿宋_GB2312" w:cs="仿宋_GB2312"/>
          <w:color w:val="auto"/>
          <w:sz w:val="32"/>
          <w:szCs w:val="32"/>
          <w:lang w:val="en-US" w:eastAsia="zh-CN"/>
        </w:rPr>
        <w:t>份，</w:t>
      </w:r>
      <w:r>
        <w:rPr>
          <w:rFonts w:hint="eastAsia" w:ascii="仿宋_GB2312" w:eastAsia="仿宋_GB2312" w:cs="仿宋_GB2312"/>
          <w:color w:val="auto"/>
          <w:sz w:val="32"/>
          <w:szCs w:val="32"/>
        </w:rPr>
        <w:t>社会保险基金实际支出完成</w:t>
      </w:r>
      <w:r>
        <w:rPr>
          <w:rFonts w:hint="eastAsia" w:ascii="仿宋_GB2312" w:eastAsia="仿宋_GB2312" w:cs="仿宋_GB2312"/>
          <w:color w:val="auto"/>
          <w:sz w:val="32"/>
          <w:szCs w:val="32"/>
          <w:lang w:val="en-US" w:eastAsia="zh-CN"/>
        </w:rPr>
        <w:t>22382.1万</w:t>
      </w:r>
      <w:r>
        <w:rPr>
          <w:rFonts w:hint="eastAsia" w:ascii="仿宋_GB2312" w:eastAsia="仿宋_GB2312" w:cs="仿宋_GB2312"/>
          <w:color w:val="auto"/>
          <w:sz w:val="32"/>
          <w:szCs w:val="32"/>
        </w:rPr>
        <w:t>元，为</w:t>
      </w:r>
      <w:r>
        <w:rPr>
          <w:rFonts w:hint="eastAsia" w:ascii="仿宋_GB2312" w:eastAsia="仿宋_GB2312" w:cs="仿宋_GB2312"/>
          <w:color w:val="auto"/>
          <w:sz w:val="32"/>
          <w:szCs w:val="32"/>
          <w:lang w:val="en-US" w:eastAsia="zh-CN"/>
        </w:rPr>
        <w:t>年初</w:t>
      </w:r>
      <w:r>
        <w:rPr>
          <w:rFonts w:hint="eastAsia" w:ascii="仿宋_GB2312" w:eastAsia="仿宋_GB2312" w:cs="仿宋_GB2312"/>
          <w:color w:val="auto"/>
          <w:sz w:val="32"/>
          <w:szCs w:val="32"/>
        </w:rPr>
        <w:t>预算的</w:t>
      </w:r>
      <w:r>
        <w:rPr>
          <w:rFonts w:hint="eastAsia" w:ascii="仿宋_GB2312" w:eastAsia="仿宋_GB2312" w:cs="仿宋_GB2312"/>
          <w:color w:val="auto"/>
          <w:sz w:val="32"/>
          <w:szCs w:val="32"/>
          <w:lang w:val="en-US" w:eastAsia="zh-CN"/>
        </w:rPr>
        <w:t>35.33</w:t>
      </w:r>
      <w:r>
        <w:rPr>
          <w:rFonts w:hint="eastAsia" w:ascii="仿宋_GB2312" w:eastAsia="仿宋_GB2312" w:cs="仿宋_GB2312"/>
          <w:color w:val="auto"/>
          <w:sz w:val="32"/>
          <w:szCs w:val="32"/>
        </w:rPr>
        <w:t>%。其中：</w:t>
      </w:r>
    </w:p>
    <w:p>
      <w:pPr>
        <w:keepNext w:val="0"/>
        <w:keepLines w:val="0"/>
        <w:pageBreakBefore w:val="0"/>
        <w:widowControl w:val="0"/>
        <w:kinsoku/>
        <w:wordWrap/>
        <w:overflowPunct/>
        <w:topLinePunct w:val="0"/>
        <w:autoSpaceDE/>
        <w:autoSpaceDN/>
        <w:bidi w:val="0"/>
        <w:adjustRightInd/>
        <w:snapToGrid w:val="0"/>
        <w:spacing w:line="560" w:lineRule="exact"/>
        <w:ind w:left="0" w:leftChars="0" w:right="0" w:firstLine="640" w:firstLineChars="200"/>
        <w:jc w:val="both"/>
        <w:textAlignment w:val="auto"/>
        <w:outlineLvl w:val="9"/>
        <w:rPr>
          <w:rFonts w:hint="eastAsia" w:ascii="仿宋_GB2312" w:eastAsia="仿宋_GB2312" w:cs="仿宋_GB2312"/>
          <w:color w:val="auto"/>
          <w:sz w:val="32"/>
          <w:szCs w:val="32"/>
        </w:rPr>
      </w:pPr>
      <w:r>
        <w:rPr>
          <w:rFonts w:hint="eastAsia" w:ascii="仿宋_GB2312" w:eastAsia="仿宋_GB2312" w:cs="仿宋_GB2312"/>
          <w:color w:val="auto"/>
          <w:sz w:val="32"/>
          <w:szCs w:val="32"/>
        </w:rPr>
        <w:t>●城乡居民基本养老保险基金收入</w:t>
      </w:r>
      <w:r>
        <w:rPr>
          <w:rFonts w:hint="eastAsia" w:ascii="仿宋_GB2312" w:eastAsia="仿宋_GB2312" w:cs="仿宋_GB2312"/>
          <w:color w:val="auto"/>
          <w:sz w:val="32"/>
          <w:szCs w:val="32"/>
          <w:lang w:val="en-US" w:eastAsia="zh-CN"/>
        </w:rPr>
        <w:t>1142</w:t>
      </w:r>
      <w:r>
        <w:rPr>
          <w:rFonts w:hint="eastAsia" w:ascii="仿宋_GB2312" w:eastAsia="仿宋_GB2312" w:cs="仿宋_GB2312"/>
          <w:color w:val="auto"/>
          <w:sz w:val="32"/>
          <w:szCs w:val="32"/>
        </w:rPr>
        <w:t>万元，支出</w:t>
      </w:r>
      <w:r>
        <w:rPr>
          <w:rFonts w:hint="eastAsia" w:ascii="仿宋_GB2312" w:eastAsia="仿宋_GB2312" w:cs="仿宋_GB2312"/>
          <w:color w:val="auto"/>
          <w:sz w:val="32"/>
          <w:szCs w:val="32"/>
          <w:lang w:val="en-US" w:eastAsia="zh-CN"/>
        </w:rPr>
        <w:t>1134</w:t>
      </w:r>
      <w:r>
        <w:rPr>
          <w:rFonts w:hint="eastAsia" w:ascii="仿宋_GB2312" w:eastAsia="仿宋_GB2312" w:cs="仿宋_GB2312"/>
          <w:color w:val="auto"/>
          <w:sz w:val="32"/>
          <w:szCs w:val="32"/>
        </w:rPr>
        <w:t>万元；</w:t>
      </w:r>
    </w:p>
    <w:p>
      <w:pPr>
        <w:keepNext w:val="0"/>
        <w:keepLines w:val="0"/>
        <w:pageBreakBefore w:val="0"/>
        <w:widowControl w:val="0"/>
        <w:kinsoku/>
        <w:wordWrap/>
        <w:overflowPunct/>
        <w:topLinePunct w:val="0"/>
        <w:autoSpaceDE/>
        <w:autoSpaceDN/>
        <w:bidi w:val="0"/>
        <w:adjustRightInd/>
        <w:snapToGrid w:val="0"/>
        <w:spacing w:line="560" w:lineRule="exact"/>
        <w:ind w:left="0" w:leftChars="0" w:right="0" w:firstLine="640" w:firstLineChars="200"/>
        <w:jc w:val="both"/>
        <w:textAlignment w:val="auto"/>
        <w:outlineLvl w:val="9"/>
        <w:rPr>
          <w:rFonts w:hint="eastAsia" w:ascii="仿宋_GB2312" w:eastAsia="仿宋_GB2312" w:cs="仿宋_GB2312"/>
          <w:color w:val="auto"/>
          <w:sz w:val="32"/>
          <w:szCs w:val="32"/>
        </w:rPr>
      </w:pPr>
      <w:r>
        <w:rPr>
          <w:rFonts w:hint="eastAsia" w:ascii="仿宋_GB2312" w:eastAsia="仿宋_GB2312" w:cs="仿宋_GB2312"/>
          <w:color w:val="auto"/>
          <w:sz w:val="32"/>
          <w:szCs w:val="32"/>
        </w:rPr>
        <w:t>●城镇职工基本医疗保险基金收入</w:t>
      </w:r>
      <w:r>
        <w:rPr>
          <w:rFonts w:hint="eastAsia" w:ascii="仿宋_GB2312" w:eastAsia="仿宋_GB2312" w:cs="仿宋_GB2312"/>
          <w:color w:val="auto"/>
          <w:sz w:val="32"/>
          <w:szCs w:val="32"/>
          <w:lang w:val="en-US" w:eastAsia="zh-CN"/>
        </w:rPr>
        <w:t>4124</w:t>
      </w:r>
      <w:r>
        <w:rPr>
          <w:rFonts w:hint="eastAsia" w:ascii="仿宋_GB2312" w:eastAsia="仿宋_GB2312" w:cs="仿宋_GB2312"/>
          <w:color w:val="auto"/>
          <w:sz w:val="32"/>
          <w:szCs w:val="32"/>
        </w:rPr>
        <w:t>万元，支出</w:t>
      </w:r>
      <w:r>
        <w:rPr>
          <w:rFonts w:hint="eastAsia" w:ascii="仿宋_GB2312" w:eastAsia="仿宋_GB2312" w:cs="仿宋_GB2312"/>
          <w:color w:val="auto"/>
          <w:sz w:val="32"/>
          <w:szCs w:val="32"/>
          <w:lang w:val="en-US" w:eastAsia="zh-CN"/>
        </w:rPr>
        <w:t>4928</w:t>
      </w:r>
      <w:r>
        <w:rPr>
          <w:rFonts w:hint="eastAsia" w:ascii="仿宋_GB2312" w:eastAsia="仿宋_GB2312" w:cs="仿宋_GB2312"/>
          <w:color w:val="auto"/>
          <w:sz w:val="32"/>
          <w:szCs w:val="32"/>
        </w:rPr>
        <w:t>万元；</w:t>
      </w:r>
    </w:p>
    <w:p>
      <w:pPr>
        <w:keepNext w:val="0"/>
        <w:keepLines w:val="0"/>
        <w:pageBreakBefore w:val="0"/>
        <w:widowControl w:val="0"/>
        <w:kinsoku/>
        <w:wordWrap/>
        <w:overflowPunct/>
        <w:topLinePunct w:val="0"/>
        <w:autoSpaceDE/>
        <w:autoSpaceDN/>
        <w:bidi w:val="0"/>
        <w:adjustRightInd/>
        <w:snapToGrid w:val="0"/>
        <w:spacing w:line="560" w:lineRule="exact"/>
        <w:ind w:left="0" w:leftChars="0" w:right="0" w:firstLine="640" w:firstLineChars="200"/>
        <w:jc w:val="both"/>
        <w:textAlignment w:val="auto"/>
        <w:outlineLvl w:val="9"/>
        <w:rPr>
          <w:rFonts w:hint="eastAsia" w:ascii="仿宋_GB2312" w:eastAsia="仿宋_GB2312" w:cs="仿宋_GB2312"/>
          <w:color w:val="auto"/>
          <w:sz w:val="32"/>
          <w:szCs w:val="32"/>
        </w:rPr>
      </w:pPr>
      <w:r>
        <w:rPr>
          <w:rFonts w:hint="eastAsia" w:ascii="仿宋_GB2312" w:eastAsia="仿宋_GB2312" w:cs="仿宋_GB2312"/>
          <w:color w:val="auto"/>
          <w:sz w:val="32"/>
          <w:szCs w:val="32"/>
        </w:rPr>
        <w:t>●</w:t>
      </w:r>
      <w:r>
        <w:rPr>
          <w:rFonts w:hint="eastAsia" w:ascii="仿宋_GB2312" w:eastAsia="仿宋_GB2312" w:cs="仿宋_GB2312"/>
          <w:color w:val="auto"/>
          <w:sz w:val="32"/>
          <w:szCs w:val="32"/>
          <w:lang w:val="en-US" w:eastAsia="zh-CN"/>
        </w:rPr>
        <w:t>城乡居民基本医疗保险基金</w:t>
      </w:r>
      <w:r>
        <w:rPr>
          <w:rFonts w:hint="eastAsia" w:ascii="仿宋_GB2312" w:eastAsia="仿宋_GB2312" w:cs="仿宋_GB2312"/>
          <w:color w:val="auto"/>
          <w:sz w:val="32"/>
          <w:szCs w:val="32"/>
        </w:rPr>
        <w:t>收入</w:t>
      </w:r>
      <w:r>
        <w:rPr>
          <w:rFonts w:hint="eastAsia" w:ascii="仿宋_GB2312" w:eastAsia="仿宋_GB2312" w:cs="仿宋_GB2312"/>
          <w:color w:val="auto"/>
          <w:sz w:val="32"/>
          <w:szCs w:val="32"/>
          <w:lang w:val="en-US" w:eastAsia="zh-CN"/>
        </w:rPr>
        <w:t>9879</w:t>
      </w:r>
      <w:r>
        <w:rPr>
          <w:rFonts w:hint="eastAsia" w:ascii="仿宋_GB2312" w:eastAsia="仿宋_GB2312" w:cs="仿宋_GB2312"/>
          <w:color w:val="auto"/>
          <w:sz w:val="32"/>
          <w:szCs w:val="32"/>
        </w:rPr>
        <w:t>元，支出</w:t>
      </w:r>
      <w:r>
        <w:rPr>
          <w:rFonts w:hint="eastAsia" w:ascii="仿宋_GB2312" w:eastAsia="仿宋_GB2312" w:cs="仿宋_GB2312"/>
          <w:color w:val="auto"/>
          <w:sz w:val="32"/>
          <w:szCs w:val="32"/>
          <w:lang w:val="en-US" w:eastAsia="zh-CN"/>
        </w:rPr>
        <w:t>7154</w:t>
      </w:r>
      <w:r>
        <w:rPr>
          <w:rFonts w:hint="eastAsia" w:ascii="仿宋_GB2312" w:eastAsia="仿宋_GB2312" w:cs="仿宋_GB2312"/>
          <w:color w:val="auto"/>
          <w:sz w:val="32"/>
          <w:szCs w:val="32"/>
        </w:rPr>
        <w:t>万元；</w:t>
      </w:r>
    </w:p>
    <w:p>
      <w:pPr>
        <w:keepNext w:val="0"/>
        <w:keepLines w:val="0"/>
        <w:pageBreakBefore w:val="0"/>
        <w:widowControl w:val="0"/>
        <w:kinsoku/>
        <w:wordWrap/>
        <w:overflowPunct/>
        <w:topLinePunct w:val="0"/>
        <w:autoSpaceDE/>
        <w:autoSpaceDN/>
        <w:bidi w:val="0"/>
        <w:adjustRightInd/>
        <w:snapToGrid w:val="0"/>
        <w:spacing w:line="560" w:lineRule="exact"/>
        <w:ind w:left="0" w:leftChars="0" w:right="0" w:firstLine="640" w:firstLineChars="200"/>
        <w:jc w:val="both"/>
        <w:textAlignment w:val="auto"/>
        <w:outlineLvl w:val="9"/>
        <w:rPr>
          <w:rFonts w:hint="eastAsia" w:ascii="仿宋_GB2312" w:eastAsia="仿宋_GB2312" w:cs="仿宋_GB2312"/>
          <w:color w:val="auto"/>
          <w:sz w:val="32"/>
          <w:szCs w:val="32"/>
          <w:lang w:eastAsia="zh-CN"/>
        </w:rPr>
      </w:pPr>
      <w:r>
        <w:rPr>
          <w:rFonts w:hint="eastAsia" w:ascii="仿宋_GB2312" w:eastAsia="仿宋_GB2312" w:cs="仿宋_GB2312"/>
          <w:color w:val="auto"/>
          <w:sz w:val="32"/>
          <w:szCs w:val="32"/>
        </w:rPr>
        <w:t>●</w:t>
      </w:r>
      <w:r>
        <w:rPr>
          <w:rFonts w:hint="eastAsia" w:ascii="仿宋_GB2312" w:eastAsia="仿宋_GB2312" w:cs="仿宋_GB2312"/>
          <w:color w:val="auto"/>
          <w:sz w:val="32"/>
          <w:szCs w:val="32"/>
          <w:lang w:val="en-US" w:eastAsia="zh-CN"/>
        </w:rPr>
        <w:t>机关事业单位基本养老保险基金收入8878.8</w:t>
      </w:r>
      <w:r>
        <w:rPr>
          <w:rFonts w:hint="eastAsia" w:ascii="仿宋_GB2312" w:eastAsia="仿宋_GB2312" w:cs="仿宋_GB2312"/>
          <w:color w:val="auto"/>
          <w:sz w:val="32"/>
          <w:szCs w:val="32"/>
        </w:rPr>
        <w:t>万元，支出</w:t>
      </w:r>
      <w:r>
        <w:rPr>
          <w:rFonts w:hint="eastAsia" w:ascii="仿宋_GB2312" w:eastAsia="仿宋_GB2312" w:cs="仿宋_GB2312"/>
          <w:color w:val="auto"/>
          <w:sz w:val="32"/>
          <w:szCs w:val="32"/>
          <w:lang w:val="en-US" w:eastAsia="zh-CN"/>
        </w:rPr>
        <w:t>9166.1</w:t>
      </w:r>
      <w:r>
        <w:rPr>
          <w:rFonts w:hint="eastAsia" w:ascii="仿宋_GB2312" w:eastAsia="仿宋_GB2312" w:cs="仿宋_GB2312"/>
          <w:color w:val="auto"/>
          <w:sz w:val="32"/>
          <w:szCs w:val="32"/>
        </w:rPr>
        <w:t>万元</w:t>
      </w:r>
      <w:r>
        <w:rPr>
          <w:rFonts w:hint="eastAsia" w:ascii="仿宋_GB2312" w:eastAsia="仿宋_GB2312" w:cs="仿宋_GB2312"/>
          <w:color w:val="auto"/>
          <w:sz w:val="32"/>
          <w:szCs w:val="32"/>
          <w:lang w:eastAsia="zh-CN"/>
        </w:rPr>
        <w:t>。</w:t>
      </w:r>
    </w:p>
    <w:p>
      <w:pPr>
        <w:keepNext w:val="0"/>
        <w:keepLines w:val="0"/>
        <w:pageBreakBefore w:val="0"/>
        <w:widowControl w:val="0"/>
        <w:kinsoku/>
        <w:wordWrap/>
        <w:overflowPunct/>
        <w:topLinePunct w:val="0"/>
        <w:autoSpaceDE/>
        <w:autoSpaceDN/>
        <w:bidi w:val="0"/>
        <w:adjustRightInd/>
        <w:snapToGrid w:val="0"/>
        <w:spacing w:line="560" w:lineRule="exact"/>
        <w:ind w:left="0" w:leftChars="0" w:right="0" w:firstLine="640" w:firstLineChars="200"/>
        <w:jc w:val="both"/>
        <w:textAlignment w:val="auto"/>
        <w:outlineLvl w:val="9"/>
        <w:rPr>
          <w:rFonts w:hint="eastAsia" w:ascii="楷体_GB2312" w:eastAsia="楷体_GB2312" w:cs="楷体_GB2312"/>
          <w:b w:val="0"/>
          <w:bCs w:val="0"/>
          <w:color w:val="auto"/>
          <w:sz w:val="32"/>
          <w:szCs w:val="32"/>
          <w:lang w:val="en-US" w:eastAsia="zh-CN"/>
        </w:rPr>
      </w:pPr>
      <w:r>
        <w:rPr>
          <w:rFonts w:hint="eastAsia" w:ascii="楷体_GB2312" w:eastAsia="楷体_GB2312" w:cs="楷体_GB2312"/>
          <w:b w:val="0"/>
          <w:bCs w:val="0"/>
          <w:color w:val="auto"/>
          <w:sz w:val="32"/>
          <w:szCs w:val="32"/>
          <w:lang w:val="en-US" w:eastAsia="zh-CN"/>
        </w:rPr>
        <w:t>（四）2022年6月底政府债务情况</w:t>
      </w:r>
    </w:p>
    <w:p>
      <w:pPr>
        <w:keepNext w:val="0"/>
        <w:keepLines w:val="0"/>
        <w:pageBreakBefore w:val="0"/>
        <w:widowControl w:val="0"/>
        <w:kinsoku/>
        <w:wordWrap/>
        <w:overflowPunct/>
        <w:topLinePunct w:val="0"/>
        <w:autoSpaceDE/>
        <w:autoSpaceDN/>
        <w:bidi w:val="0"/>
        <w:adjustRightInd/>
        <w:snapToGrid w:val="0"/>
        <w:spacing w:line="560" w:lineRule="exact"/>
        <w:ind w:left="0" w:leftChars="0" w:right="0" w:firstLine="640" w:firstLineChars="200"/>
        <w:jc w:val="both"/>
        <w:textAlignment w:val="auto"/>
        <w:outlineLvl w:val="9"/>
        <w:rPr>
          <w:rFonts w:hint="eastAsia" w:ascii="仿宋_GB2312" w:eastAsia="仿宋_GB2312" w:cs="仿宋_GB2312"/>
          <w:color w:val="auto"/>
          <w:sz w:val="32"/>
          <w:szCs w:val="32"/>
          <w:lang w:val="en-US" w:eastAsia="zh-CN"/>
        </w:rPr>
      </w:pPr>
      <w:r>
        <w:rPr>
          <w:rFonts w:hint="eastAsia" w:ascii="仿宋_GB2312" w:eastAsia="仿宋_GB2312" w:cs="仿宋_GB2312"/>
          <w:color w:val="auto"/>
          <w:sz w:val="32"/>
          <w:szCs w:val="32"/>
          <w:lang w:val="en-US" w:eastAsia="zh-CN"/>
        </w:rPr>
        <w:t>省财政厅核定我区2022年政府债务限额155647万元。截至2022年6月底，我区政府债务余额154478.2万元，其中：一般债务余额65778.2万元，专项债务余额88700万元。政府债务余额不超省财政厅核定的限额，全区债务规模总体可控。</w:t>
      </w:r>
    </w:p>
    <w:p>
      <w:pPr>
        <w:keepNext w:val="0"/>
        <w:keepLines w:val="0"/>
        <w:pageBreakBefore w:val="0"/>
        <w:widowControl w:val="0"/>
        <w:kinsoku/>
        <w:wordWrap/>
        <w:overflowPunct/>
        <w:topLinePunct w:val="0"/>
        <w:autoSpaceDE/>
        <w:autoSpaceDN/>
        <w:bidi w:val="0"/>
        <w:adjustRightInd/>
        <w:snapToGrid w:val="0"/>
        <w:spacing w:line="560" w:lineRule="exact"/>
        <w:ind w:left="0" w:leftChars="0" w:right="0" w:firstLine="640" w:firstLineChars="200"/>
        <w:jc w:val="both"/>
        <w:textAlignment w:val="auto"/>
        <w:outlineLvl w:val="9"/>
        <w:rPr>
          <w:rFonts w:hint="eastAsia" w:ascii="黑体" w:eastAsia="黑体" w:cs="黑体"/>
          <w:color w:val="auto"/>
          <w:sz w:val="32"/>
          <w:szCs w:val="32"/>
          <w:lang w:eastAsia="zh-CN"/>
        </w:rPr>
      </w:pPr>
      <w:r>
        <w:rPr>
          <w:rFonts w:hint="eastAsia" w:ascii="黑体" w:eastAsia="黑体" w:cs="黑体"/>
          <w:color w:val="auto"/>
          <w:sz w:val="32"/>
          <w:szCs w:val="32"/>
          <w:lang w:eastAsia="zh-CN"/>
        </w:rPr>
        <w:t>三、存在问题及下半年财政工作重点</w:t>
      </w:r>
    </w:p>
    <w:p>
      <w:pPr>
        <w:keepNext w:val="0"/>
        <w:keepLines w:val="0"/>
        <w:pageBreakBefore w:val="0"/>
        <w:widowControl w:val="0"/>
        <w:kinsoku/>
        <w:wordWrap/>
        <w:overflowPunct/>
        <w:topLinePunct w:val="0"/>
        <w:autoSpaceDE/>
        <w:autoSpaceDN/>
        <w:bidi w:val="0"/>
        <w:adjustRightInd/>
        <w:snapToGrid w:val="0"/>
        <w:spacing w:line="560" w:lineRule="exact"/>
        <w:ind w:right="0" w:firstLine="640" w:firstLineChars="200"/>
        <w:jc w:val="both"/>
        <w:textAlignment w:val="auto"/>
        <w:outlineLvl w:val="9"/>
        <w:rPr>
          <w:rFonts w:hint="eastAsia"/>
          <w:b w:val="0"/>
          <w:bCs w:val="0"/>
          <w:lang w:eastAsia="zh-CN"/>
        </w:rPr>
      </w:pPr>
      <w:r>
        <w:rPr>
          <w:rFonts w:hint="eastAsia" w:ascii="楷体" w:hAnsi="楷体" w:eastAsia="楷体" w:cs="楷体"/>
          <w:b w:val="0"/>
          <w:bCs w:val="0"/>
          <w:color w:val="auto"/>
          <w:sz w:val="32"/>
          <w:szCs w:val="32"/>
          <w:lang w:eastAsia="zh-CN"/>
        </w:rPr>
        <w:t>（一）存在问题</w:t>
      </w:r>
    </w:p>
    <w:p>
      <w:pPr>
        <w:keepNext w:val="0"/>
        <w:keepLines w:val="0"/>
        <w:pageBreakBefore w:val="0"/>
        <w:widowControl w:val="0"/>
        <w:kinsoku/>
        <w:wordWrap/>
        <w:overflowPunct/>
        <w:topLinePunct w:val="0"/>
        <w:autoSpaceDE/>
        <w:autoSpaceDN/>
        <w:bidi w:val="0"/>
        <w:adjustRightInd/>
        <w:snapToGrid w:val="0"/>
        <w:spacing w:line="560" w:lineRule="exact"/>
        <w:ind w:left="0" w:leftChars="0" w:right="0" w:firstLine="640" w:firstLineChars="200"/>
        <w:jc w:val="both"/>
        <w:textAlignment w:val="auto"/>
        <w:outlineLvl w:val="9"/>
        <w:rPr>
          <w:rFonts w:hint="eastAsia" w:ascii="仿宋_GB2312" w:eastAsia="仿宋_GB2312" w:cs="仿宋_GB2312"/>
          <w:color w:val="auto"/>
          <w:sz w:val="32"/>
          <w:szCs w:val="32"/>
          <w:lang w:val="en-US" w:eastAsia="zh-CN"/>
        </w:rPr>
      </w:pPr>
      <w:r>
        <w:rPr>
          <w:rFonts w:hint="eastAsia" w:ascii="仿宋_GB2312" w:eastAsia="仿宋_GB2312" w:cs="仿宋_GB2312"/>
          <w:color w:val="auto"/>
          <w:sz w:val="32"/>
          <w:szCs w:val="32"/>
          <w:lang w:val="en-US" w:eastAsia="zh-CN"/>
        </w:rPr>
        <w:t>目前，受疫情、减税降费等影响，财政收支矛盾异常突出。主要表现在：一是受缓税、增值税留抵退税等政策影响，税收增长乏力。二是土地出让收入下降幅度较大，受国家宏观调控政策及疫情影响，房地产市场持续低迷，土地收益下降。三是受上级调度我区现金同比下降和清理消化往年财政暂付款因素影响，1-6月我区一般公共预算支出同比下降。</w:t>
      </w:r>
    </w:p>
    <w:p>
      <w:pPr>
        <w:keepNext w:val="0"/>
        <w:keepLines w:val="0"/>
        <w:pageBreakBefore w:val="0"/>
        <w:widowControl w:val="0"/>
        <w:kinsoku/>
        <w:wordWrap/>
        <w:overflowPunct/>
        <w:topLinePunct w:val="0"/>
        <w:autoSpaceDE/>
        <w:autoSpaceDN/>
        <w:bidi w:val="0"/>
        <w:adjustRightInd/>
        <w:snapToGrid w:val="0"/>
        <w:spacing w:line="560" w:lineRule="exact"/>
        <w:ind w:right="0" w:firstLine="640" w:firstLineChars="200"/>
        <w:jc w:val="both"/>
        <w:textAlignment w:val="auto"/>
        <w:outlineLvl w:val="9"/>
        <w:rPr>
          <w:rFonts w:hint="eastAsia" w:ascii="楷体" w:hAnsi="楷体" w:eastAsia="楷体" w:cs="楷体"/>
          <w:b w:val="0"/>
          <w:bCs w:val="0"/>
          <w:color w:val="auto"/>
          <w:sz w:val="32"/>
          <w:szCs w:val="32"/>
        </w:rPr>
      </w:pPr>
      <w:r>
        <w:rPr>
          <w:rFonts w:hint="eastAsia" w:ascii="楷体" w:hAnsi="楷体" w:eastAsia="楷体" w:cs="楷体"/>
          <w:b w:val="0"/>
          <w:bCs w:val="0"/>
          <w:color w:val="auto"/>
          <w:sz w:val="32"/>
          <w:szCs w:val="32"/>
          <w:lang w:eastAsia="zh-CN"/>
        </w:rPr>
        <w:t>（</w:t>
      </w:r>
      <w:r>
        <w:rPr>
          <w:rFonts w:hint="eastAsia" w:ascii="楷体" w:hAnsi="楷体" w:eastAsia="楷体" w:cs="楷体"/>
          <w:b w:val="0"/>
          <w:bCs w:val="0"/>
          <w:color w:val="auto"/>
          <w:sz w:val="32"/>
          <w:szCs w:val="32"/>
          <w:lang w:val="en-US" w:eastAsia="zh-CN"/>
        </w:rPr>
        <w:t>二</w:t>
      </w:r>
      <w:r>
        <w:rPr>
          <w:rFonts w:hint="eastAsia" w:ascii="楷体" w:hAnsi="楷体" w:eastAsia="楷体" w:cs="楷体"/>
          <w:b w:val="0"/>
          <w:bCs w:val="0"/>
          <w:color w:val="auto"/>
          <w:sz w:val="32"/>
          <w:szCs w:val="32"/>
          <w:lang w:eastAsia="zh-CN"/>
        </w:rPr>
        <w:t>）</w:t>
      </w:r>
      <w:r>
        <w:rPr>
          <w:rFonts w:hint="eastAsia" w:ascii="楷体" w:hAnsi="楷体" w:eastAsia="楷体" w:cs="楷体"/>
          <w:b w:val="0"/>
          <w:bCs w:val="0"/>
          <w:color w:val="auto"/>
          <w:sz w:val="32"/>
          <w:szCs w:val="32"/>
        </w:rPr>
        <w:t>下半年财政工作重点</w:t>
      </w:r>
    </w:p>
    <w:p>
      <w:pPr>
        <w:keepNext w:val="0"/>
        <w:keepLines w:val="0"/>
        <w:pageBreakBefore w:val="0"/>
        <w:widowControl w:val="0"/>
        <w:kinsoku/>
        <w:wordWrap/>
        <w:overflowPunct/>
        <w:topLinePunct w:val="0"/>
        <w:autoSpaceDE/>
        <w:autoSpaceDN/>
        <w:bidi w:val="0"/>
        <w:adjustRightInd/>
        <w:snapToGrid w:val="0"/>
        <w:spacing w:line="560" w:lineRule="exact"/>
        <w:ind w:left="0" w:leftChars="0" w:right="0" w:firstLine="640" w:firstLineChars="200"/>
        <w:jc w:val="both"/>
        <w:textAlignment w:val="auto"/>
        <w:outlineLvl w:val="9"/>
        <w:rPr>
          <w:rFonts w:hint="eastAsia" w:ascii="仿宋_GB2312" w:hAnsi="仿宋_GB2312" w:eastAsia="仿宋_GB2312" w:cs="仿宋_GB2312"/>
          <w:color w:val="auto"/>
          <w:kern w:val="2"/>
          <w:sz w:val="32"/>
          <w:szCs w:val="32"/>
          <w:lang w:val="en-US" w:eastAsia="zh-CN" w:bidi="ar-SA"/>
        </w:rPr>
      </w:pPr>
      <w:r>
        <w:rPr>
          <w:rFonts w:hint="eastAsia" w:ascii="仿宋_GB2312" w:hAnsi="仿宋_GB2312" w:eastAsia="仿宋_GB2312" w:cs="仿宋_GB2312"/>
          <w:color w:val="auto"/>
          <w:kern w:val="2"/>
          <w:sz w:val="32"/>
          <w:szCs w:val="32"/>
          <w:lang w:val="en-US" w:eastAsia="zh-CN" w:bidi="ar-SA"/>
        </w:rPr>
        <w:t>当前国内经济形势依然严峻复杂，财政收入保持持续稳定增长难度较大。2022年下半年，区财政部门将深入贯彻落实区委决策部署，牢固树立政府过“紧日子”思想，落实各级各项稳经济一揽子财政措施，坚持稳中求进工作总基调，扎实落实积极的财政政策，优化财政资源配置，保持适度的支出强度，确保财政平稳运行，努力完成年度目标任务，不断促进经济社会持续健康发展。重点做好以下工作：</w:t>
      </w:r>
    </w:p>
    <w:p>
      <w:pPr>
        <w:keepNext w:val="0"/>
        <w:keepLines w:val="0"/>
        <w:pageBreakBefore w:val="0"/>
        <w:widowControl w:val="0"/>
        <w:numPr>
          <w:ilvl w:val="0"/>
          <w:numId w:val="0"/>
        </w:numPr>
        <w:kinsoku/>
        <w:wordWrap/>
        <w:overflowPunct/>
        <w:topLinePunct w:val="0"/>
        <w:autoSpaceDE/>
        <w:autoSpaceDN/>
        <w:bidi w:val="0"/>
        <w:adjustRightInd/>
        <w:snapToGrid w:val="0"/>
        <w:spacing w:line="560" w:lineRule="exact"/>
        <w:ind w:right="0" w:firstLine="643" w:firstLineChars="200"/>
        <w:jc w:val="both"/>
        <w:textAlignment w:val="auto"/>
        <w:outlineLvl w:val="9"/>
        <w:rPr>
          <w:rFonts w:hint="eastAsia" w:ascii="仿宋_GB2312" w:hAnsi="仿宋_GB2312" w:eastAsia="仿宋_GB2312" w:cs="仿宋_GB2312"/>
          <w:color w:val="auto"/>
          <w:kern w:val="2"/>
          <w:sz w:val="32"/>
          <w:szCs w:val="32"/>
          <w:lang w:val="en-US" w:eastAsia="zh-CN" w:bidi="ar-SA"/>
        </w:rPr>
      </w:pPr>
      <w:r>
        <w:rPr>
          <w:rFonts w:hint="eastAsia" w:ascii="仿宋_GB2312" w:eastAsia="仿宋_GB2312" w:cs="仿宋_GB2312"/>
          <w:b/>
          <w:bCs/>
          <w:color w:val="auto"/>
          <w:sz w:val="32"/>
          <w:szCs w:val="32"/>
          <w:lang w:eastAsia="zh-CN"/>
        </w:rPr>
        <w:t>一坚持党政机关过紧日子。</w:t>
      </w:r>
      <w:r>
        <w:rPr>
          <w:rFonts w:hint="eastAsia" w:ascii="仿宋_GB2312" w:hAnsi="仿宋_GB2312" w:eastAsia="仿宋_GB2312" w:cs="仿宋_GB2312"/>
          <w:color w:val="auto"/>
          <w:kern w:val="2"/>
          <w:sz w:val="32"/>
          <w:szCs w:val="32"/>
          <w:lang w:val="en-US" w:eastAsia="zh-CN" w:bidi="ar-SA"/>
        </w:rPr>
        <w:t>大力压减非重点、非刚性支出，从严控制一般性支出，强化“三公”经费预算管理，努力降低行政运行成本。进一步细化完善支出标准，健全财政支出约束机制，把更多的财政资源腾出来，用于改善基本民生和支持市场主体发展。</w:t>
      </w:r>
    </w:p>
    <w:p>
      <w:pPr>
        <w:keepNext w:val="0"/>
        <w:keepLines w:val="0"/>
        <w:pageBreakBefore w:val="0"/>
        <w:widowControl w:val="0"/>
        <w:pBdr>
          <w:top w:val="none" w:color="000000" w:sz="0" w:space="0"/>
          <w:left w:val="none" w:color="000000" w:sz="0" w:space="0"/>
          <w:bottom w:val="none" w:color="000000" w:sz="0" w:space="31"/>
          <w:right w:val="none" w:color="000000" w:sz="0" w:space="0"/>
        </w:pBdr>
        <w:kinsoku/>
        <w:wordWrap/>
        <w:overflowPunct/>
        <w:topLinePunct w:val="0"/>
        <w:autoSpaceDE/>
        <w:autoSpaceDN/>
        <w:bidi w:val="0"/>
        <w:adjustRightInd w:val="0"/>
        <w:snapToGrid w:val="0"/>
        <w:spacing w:line="560" w:lineRule="exact"/>
        <w:ind w:firstLine="643" w:firstLineChars="200"/>
        <w:textAlignment w:val="auto"/>
        <w:rPr>
          <w:rFonts w:hint="eastAsia" w:ascii="仿宋_GB2312" w:hAnsi="仿宋_GB2312" w:eastAsia="仿宋_GB2312" w:cs="仿宋_GB2312"/>
          <w:color w:val="0C0C0C"/>
          <w:sz w:val="32"/>
          <w:szCs w:val="32"/>
          <w:highlight w:val="none"/>
          <w:lang w:val="zh-CN"/>
        </w:rPr>
      </w:pPr>
      <w:r>
        <w:rPr>
          <w:rFonts w:hint="eastAsia" w:ascii="仿宋_GB2312" w:eastAsia="仿宋_GB2312" w:cs="仿宋_GB2312"/>
          <w:b/>
          <w:bCs/>
          <w:color w:val="auto"/>
          <w:sz w:val="32"/>
          <w:szCs w:val="32"/>
          <w:lang w:eastAsia="zh-CN"/>
        </w:rPr>
        <w:t>二是深化预算管理制度改革。</w:t>
      </w:r>
      <w:r>
        <w:rPr>
          <w:rFonts w:hint="eastAsia" w:ascii="仿宋_GB2312" w:hAnsi="仿宋_GB2312" w:eastAsia="仿宋_GB2312" w:cs="仿宋_GB2312"/>
          <w:color w:val="0C0C0C"/>
          <w:sz w:val="32"/>
          <w:szCs w:val="32"/>
          <w:highlight w:val="none"/>
          <w:lang w:val="zh-CN"/>
        </w:rPr>
        <w:t>继续调整优化支出结构，切实提高财政资源配置效率，增强新时代财政统筹保障能力。推进零基预算改革，持续打破基数概念和支出固化格局。加速预算管理一体化推广应用，推动将资产、债务、绩效、政府采购等按照一体化管理要求融入预算管理主体流程，为我区预算管理现代化提供坚实支撑。</w:t>
      </w:r>
    </w:p>
    <w:p>
      <w:pPr>
        <w:keepNext w:val="0"/>
        <w:keepLines w:val="0"/>
        <w:pageBreakBefore w:val="0"/>
        <w:widowControl w:val="0"/>
        <w:pBdr>
          <w:top w:val="none" w:color="000000" w:sz="0" w:space="0"/>
          <w:left w:val="none" w:color="000000" w:sz="0" w:space="0"/>
          <w:bottom w:val="none" w:color="000000" w:sz="0" w:space="31"/>
          <w:right w:val="none" w:color="000000" w:sz="0" w:space="0"/>
        </w:pBdr>
        <w:kinsoku/>
        <w:wordWrap/>
        <w:overflowPunct/>
        <w:topLinePunct w:val="0"/>
        <w:autoSpaceDE/>
        <w:autoSpaceDN/>
        <w:bidi w:val="0"/>
        <w:adjustRightInd w:val="0"/>
        <w:snapToGrid w:val="0"/>
        <w:spacing w:line="560" w:lineRule="exact"/>
        <w:ind w:firstLine="643" w:firstLineChars="200"/>
        <w:textAlignment w:val="auto"/>
        <w:rPr>
          <w:rFonts w:hint="eastAsia" w:ascii="仿宋_GB2312" w:hAnsi="仿宋_GB2312" w:eastAsia="仿宋_GB2312" w:cs="仿宋_GB2312"/>
          <w:color w:val="0C0C0C"/>
          <w:sz w:val="32"/>
          <w:szCs w:val="32"/>
          <w:highlight w:val="none"/>
          <w:lang w:val="zh-CN" w:eastAsia="zh-CN"/>
        </w:rPr>
      </w:pPr>
      <w:r>
        <w:rPr>
          <w:rFonts w:hint="eastAsia" w:ascii="仿宋_GB2312" w:eastAsia="仿宋_GB2312" w:cs="仿宋_GB2312"/>
          <w:b/>
          <w:bCs/>
          <w:color w:val="auto"/>
          <w:sz w:val="32"/>
          <w:szCs w:val="32"/>
          <w:lang w:eastAsia="zh-CN"/>
        </w:rPr>
        <w:t>三是深入推进预算绩效管理。</w:t>
      </w:r>
      <w:r>
        <w:rPr>
          <w:rFonts w:hint="eastAsia" w:ascii="仿宋_GB2312" w:hAnsi="仿宋_GB2312" w:eastAsia="仿宋_GB2312" w:cs="仿宋_GB2312"/>
          <w:color w:val="0C0C0C"/>
          <w:sz w:val="32"/>
          <w:szCs w:val="32"/>
          <w:highlight w:val="none"/>
          <w:lang w:val="zh-CN" w:eastAsia="zh-CN"/>
        </w:rPr>
        <w:t>将落实中央和省市决策部署作为绩效管理的重点，坚持贯彻“花钱必问效、无效必问责”的原则，把全面实施绩效管理摆在更加重要的位置，严格新增事前绩效评估，强化财政资金预算评审，完善绩效目标管理，做实绩效运行监控，深化财政、审计部门协同联动机制，强化评价结果应用，真正实现预算和绩效管理一体化。</w:t>
      </w:r>
    </w:p>
    <w:p>
      <w:pPr>
        <w:keepNext w:val="0"/>
        <w:keepLines w:val="0"/>
        <w:pageBreakBefore w:val="0"/>
        <w:widowControl w:val="0"/>
        <w:pBdr>
          <w:top w:val="none" w:color="000000" w:sz="0" w:space="0"/>
          <w:left w:val="none" w:color="000000" w:sz="0" w:space="0"/>
          <w:bottom w:val="none" w:color="000000" w:sz="0" w:space="31"/>
          <w:right w:val="none" w:color="000000" w:sz="0" w:space="0"/>
        </w:pBdr>
        <w:kinsoku/>
        <w:wordWrap/>
        <w:overflowPunct/>
        <w:topLinePunct w:val="0"/>
        <w:autoSpaceDE/>
        <w:autoSpaceDN/>
        <w:bidi w:val="0"/>
        <w:adjustRightInd w:val="0"/>
        <w:snapToGrid w:val="0"/>
        <w:spacing w:line="560" w:lineRule="exact"/>
        <w:ind w:firstLine="643" w:firstLineChars="200"/>
        <w:textAlignment w:val="auto"/>
        <w:rPr>
          <w:rFonts w:hint="eastAsia" w:ascii="仿宋_GB2312" w:eastAsia="仿宋_GB2312" w:cs="仿宋_GB2312"/>
          <w:b w:val="0"/>
          <w:bCs w:val="0"/>
          <w:color w:val="auto"/>
          <w:sz w:val="32"/>
          <w:szCs w:val="32"/>
          <w:lang w:eastAsia="zh-CN"/>
        </w:rPr>
      </w:pPr>
      <w:r>
        <w:rPr>
          <w:rFonts w:hint="eastAsia" w:ascii="仿宋_GB2312" w:eastAsia="仿宋_GB2312" w:cs="仿宋_GB2312"/>
          <w:b/>
          <w:bCs/>
          <w:color w:val="auto"/>
          <w:sz w:val="32"/>
          <w:szCs w:val="32"/>
          <w:lang w:eastAsia="zh-CN"/>
        </w:rPr>
        <w:t>四是着力保障和改善民生。</w:t>
      </w:r>
      <w:r>
        <w:rPr>
          <w:rFonts w:hint="eastAsia" w:ascii="仿宋_GB2312" w:eastAsia="仿宋_GB2312" w:cs="仿宋_GB2312"/>
          <w:b w:val="0"/>
          <w:bCs w:val="0"/>
          <w:color w:val="auto"/>
          <w:sz w:val="32"/>
          <w:szCs w:val="32"/>
          <w:lang w:eastAsia="zh-CN"/>
        </w:rPr>
        <w:t>持续做好疫情防控、重点项目建设、新型城镇化建设等资金保障工作，支持办好全区重点民生实事，着力解决就业、社会保障、教育、医疗卫生、养老等涉及群众切身利益的问题，稳步增进民生福祉。</w:t>
      </w:r>
    </w:p>
    <w:p>
      <w:pPr>
        <w:keepNext w:val="0"/>
        <w:keepLines w:val="0"/>
        <w:pageBreakBefore w:val="0"/>
        <w:widowControl w:val="0"/>
        <w:pBdr>
          <w:top w:val="none" w:color="000000" w:sz="0" w:space="0"/>
          <w:left w:val="none" w:color="000000" w:sz="0" w:space="0"/>
          <w:bottom w:val="none" w:color="000000" w:sz="0" w:space="31"/>
          <w:right w:val="none" w:color="000000" w:sz="0" w:space="0"/>
        </w:pBdr>
        <w:kinsoku/>
        <w:wordWrap/>
        <w:overflowPunct/>
        <w:topLinePunct w:val="0"/>
        <w:autoSpaceDE/>
        <w:autoSpaceDN/>
        <w:bidi w:val="0"/>
        <w:adjustRightInd w:val="0"/>
        <w:snapToGrid w:val="0"/>
        <w:spacing w:line="560" w:lineRule="exact"/>
        <w:ind w:firstLine="643" w:firstLineChars="200"/>
        <w:textAlignment w:val="auto"/>
        <w:rPr>
          <w:rFonts w:hint="eastAsia" w:ascii="仿宋_GB2312" w:eastAsia="仿宋_GB2312" w:cs="仿宋_GB2312"/>
          <w:b w:val="0"/>
          <w:bCs w:val="0"/>
          <w:color w:val="auto"/>
          <w:sz w:val="32"/>
          <w:szCs w:val="32"/>
          <w:lang w:eastAsia="zh-CN"/>
        </w:rPr>
      </w:pPr>
      <w:r>
        <w:rPr>
          <w:rFonts w:hint="eastAsia" w:ascii="仿宋_GB2312" w:eastAsia="仿宋_GB2312" w:cs="仿宋_GB2312"/>
          <w:b/>
          <w:bCs/>
          <w:color w:val="auto"/>
          <w:sz w:val="32"/>
          <w:szCs w:val="32"/>
          <w:lang w:eastAsia="zh-CN"/>
        </w:rPr>
        <w:t>五是加强政府债务管理。</w:t>
      </w:r>
      <w:r>
        <w:rPr>
          <w:rFonts w:hint="eastAsia" w:ascii="仿宋_GB2312" w:eastAsia="仿宋_GB2312" w:cs="仿宋_GB2312"/>
          <w:b w:val="0"/>
          <w:bCs w:val="0"/>
          <w:color w:val="auto"/>
          <w:sz w:val="32"/>
          <w:szCs w:val="32"/>
          <w:lang w:eastAsia="zh-CN"/>
        </w:rPr>
        <w:t>加强政府专项债券项目储备和前期工作，优先支持在建项目建设，强化债券资金使用事中、事后监管，持续提高债券资金使用效益。做好政府债务还本付息和政府债券信息公开工作。妥善处置和化解政府隐性债务存量，坚决遏制隐性债务增量，确保牢牢守住不发生系统性风险的底线。</w:t>
      </w:r>
    </w:p>
    <w:p>
      <w:pPr>
        <w:keepNext w:val="0"/>
        <w:keepLines w:val="0"/>
        <w:pageBreakBefore w:val="0"/>
        <w:widowControl w:val="0"/>
        <w:pBdr>
          <w:top w:val="none" w:color="000000" w:sz="0" w:space="0"/>
          <w:left w:val="none" w:color="000000" w:sz="0" w:space="0"/>
          <w:bottom w:val="none" w:color="000000" w:sz="0" w:space="31"/>
          <w:right w:val="none" w:color="000000" w:sz="0" w:space="0"/>
        </w:pBdr>
        <w:kinsoku/>
        <w:wordWrap/>
        <w:overflowPunct/>
        <w:topLinePunct w:val="0"/>
        <w:autoSpaceDE/>
        <w:autoSpaceDN/>
        <w:bidi w:val="0"/>
        <w:adjustRightInd w:val="0"/>
        <w:snapToGrid w:val="0"/>
        <w:spacing w:line="560" w:lineRule="exact"/>
        <w:ind w:firstLine="643" w:firstLineChars="200"/>
        <w:textAlignment w:val="auto"/>
        <w:rPr>
          <w:rFonts w:hint="eastAsia" w:ascii="仿宋_GB2312" w:eastAsia="仿宋_GB2312" w:cs="仿宋_GB2312"/>
          <w:color w:val="auto"/>
          <w:sz w:val="32"/>
          <w:szCs w:val="32"/>
        </w:rPr>
      </w:pPr>
      <w:r>
        <w:rPr>
          <w:rFonts w:hint="eastAsia" w:ascii="仿宋_GB2312" w:eastAsia="仿宋_GB2312" w:cs="仿宋_GB2312"/>
          <w:b/>
          <w:bCs/>
          <w:color w:val="auto"/>
          <w:sz w:val="32"/>
          <w:szCs w:val="32"/>
          <w:lang w:eastAsia="zh-CN"/>
        </w:rPr>
        <w:t>六是切实严肃财经纪律。</w:t>
      </w:r>
      <w:r>
        <w:rPr>
          <w:rFonts w:hint="eastAsia" w:ascii="仿宋_GB2312" w:eastAsia="仿宋_GB2312" w:cs="仿宋_GB2312"/>
          <w:b w:val="0"/>
          <w:bCs w:val="0"/>
          <w:color w:val="auto"/>
          <w:sz w:val="32"/>
          <w:szCs w:val="32"/>
          <w:lang w:eastAsia="zh-CN"/>
        </w:rPr>
        <w:t>牢固树立预算法治意识，坚持依法行政、依法理财，管好用好各项财政资金。加强收入征管，着力提高收入质量，严禁虚收空转、收取过头税费等行为。加强财经制度建设，严格执行预算管理制度，严禁无预算超预算列支。对任何违反财经纪律的行为都要敢抓敢管，让财经纪律成为不可触碰的“高压线”。</w:t>
      </w:r>
    </w:p>
    <w:p>
      <w:pPr>
        <w:keepNext w:val="0"/>
        <w:keepLines w:val="0"/>
        <w:pageBreakBefore w:val="0"/>
        <w:widowControl w:val="0"/>
        <w:pBdr>
          <w:top w:val="none" w:color="000000" w:sz="0" w:space="0"/>
          <w:left w:val="none" w:color="000000" w:sz="0" w:space="0"/>
          <w:bottom w:val="none" w:color="000000" w:sz="0" w:space="31"/>
          <w:right w:val="none" w:color="000000" w:sz="0" w:space="0"/>
        </w:pBdr>
        <w:kinsoku/>
        <w:wordWrap/>
        <w:overflowPunct/>
        <w:topLinePunct w:val="0"/>
        <w:autoSpaceDE/>
        <w:autoSpaceDN/>
        <w:bidi w:val="0"/>
        <w:adjustRightInd w:val="0"/>
        <w:snapToGrid w:val="0"/>
        <w:spacing w:line="560" w:lineRule="exact"/>
        <w:ind w:firstLine="640" w:firstLineChars="200"/>
        <w:textAlignment w:val="auto"/>
        <w:rPr>
          <w:rFonts w:hint="eastAsia" w:ascii="仿宋_GB2312" w:eastAsia="仿宋_GB2312" w:cs="仿宋_GB2312"/>
          <w:color w:val="auto"/>
          <w:sz w:val="32"/>
          <w:szCs w:val="32"/>
        </w:rPr>
      </w:pPr>
      <w:r>
        <w:rPr>
          <w:rFonts w:hint="eastAsia" w:ascii="仿宋_GB2312" w:eastAsia="仿宋_GB2312" w:cs="仿宋_GB2312"/>
          <w:color w:val="auto"/>
          <w:sz w:val="32"/>
          <w:szCs w:val="32"/>
        </w:rPr>
        <w:t>主任、各位副主任、各位委员，202</w:t>
      </w:r>
      <w:r>
        <w:rPr>
          <w:rFonts w:hint="eastAsia" w:ascii="仿宋_GB2312" w:eastAsia="仿宋_GB2312" w:cs="仿宋_GB2312"/>
          <w:color w:val="auto"/>
          <w:sz w:val="32"/>
          <w:szCs w:val="32"/>
          <w:lang w:val="en-US" w:eastAsia="zh-CN"/>
        </w:rPr>
        <w:t>2</w:t>
      </w:r>
      <w:r>
        <w:rPr>
          <w:rFonts w:hint="eastAsia" w:ascii="仿宋_GB2312" w:eastAsia="仿宋_GB2312" w:cs="仿宋_GB2312"/>
          <w:color w:val="auto"/>
          <w:sz w:val="32"/>
          <w:szCs w:val="32"/>
        </w:rPr>
        <w:t>年是</w:t>
      </w:r>
      <w:r>
        <w:rPr>
          <w:rFonts w:hint="eastAsia" w:ascii="仿宋_GB2312" w:eastAsia="仿宋_GB2312" w:cs="仿宋_GB2312"/>
          <w:color w:val="auto"/>
          <w:sz w:val="32"/>
          <w:szCs w:val="32"/>
          <w:lang w:eastAsia="zh-CN"/>
        </w:rPr>
        <w:t>迎接党的二十大召开之年</w:t>
      </w:r>
      <w:r>
        <w:rPr>
          <w:rFonts w:hint="eastAsia" w:ascii="仿宋_GB2312" w:eastAsia="仿宋_GB2312" w:cs="仿宋_GB2312"/>
          <w:color w:val="auto"/>
          <w:sz w:val="32"/>
          <w:szCs w:val="32"/>
        </w:rPr>
        <w:t>，</w:t>
      </w:r>
      <w:r>
        <w:rPr>
          <w:rFonts w:hint="eastAsia" w:ascii="仿宋_GB2312" w:hAnsi="宋体" w:eastAsia="仿宋_GB2312" w:cs="黑体"/>
          <w:color w:val="auto"/>
          <w:kern w:val="0"/>
          <w:sz w:val="32"/>
          <w:szCs w:val="32"/>
        </w:rPr>
        <w:t>我们将在</w:t>
      </w:r>
      <w:r>
        <w:rPr>
          <w:rFonts w:hint="eastAsia" w:ascii="仿宋_GB2312" w:hAnsi="宋体" w:eastAsia="仿宋_GB2312" w:cs="黑体"/>
          <w:color w:val="auto"/>
          <w:kern w:val="0"/>
          <w:sz w:val="32"/>
          <w:szCs w:val="32"/>
          <w:lang w:eastAsia="zh-CN"/>
        </w:rPr>
        <w:t>区</w:t>
      </w:r>
      <w:r>
        <w:rPr>
          <w:rFonts w:hint="eastAsia" w:ascii="仿宋_GB2312" w:hAnsi="宋体" w:eastAsia="仿宋_GB2312" w:cs="黑体"/>
          <w:color w:val="auto"/>
          <w:kern w:val="0"/>
          <w:sz w:val="32"/>
          <w:szCs w:val="32"/>
        </w:rPr>
        <w:t>委坚强领导和</w:t>
      </w:r>
      <w:r>
        <w:rPr>
          <w:rFonts w:hint="eastAsia" w:ascii="仿宋_GB2312" w:hAnsi="宋体" w:eastAsia="仿宋_GB2312" w:cs="黑体"/>
          <w:color w:val="auto"/>
          <w:kern w:val="0"/>
          <w:sz w:val="32"/>
          <w:szCs w:val="32"/>
          <w:lang w:eastAsia="zh-CN"/>
        </w:rPr>
        <w:t>区</w:t>
      </w:r>
      <w:r>
        <w:rPr>
          <w:rFonts w:hint="eastAsia" w:ascii="仿宋_GB2312" w:hAnsi="宋体" w:eastAsia="仿宋_GB2312" w:cs="黑体"/>
          <w:color w:val="auto"/>
          <w:kern w:val="0"/>
          <w:sz w:val="32"/>
          <w:szCs w:val="32"/>
        </w:rPr>
        <w:t>人大监督</w:t>
      </w:r>
      <w:r>
        <w:rPr>
          <w:rFonts w:hint="eastAsia" w:ascii="仿宋_GB2312" w:hAnsi="宋体" w:eastAsia="仿宋_GB2312" w:cs="黑体"/>
          <w:color w:val="auto"/>
          <w:kern w:val="0"/>
          <w:sz w:val="32"/>
          <w:szCs w:val="32"/>
          <w:lang w:eastAsia="zh-CN"/>
        </w:rPr>
        <w:t>支持下</w:t>
      </w:r>
      <w:r>
        <w:rPr>
          <w:rFonts w:hint="eastAsia" w:ascii="仿宋_GB2312" w:hAnsi="宋体" w:eastAsia="仿宋_GB2312" w:cs="黑体"/>
          <w:color w:val="auto"/>
          <w:kern w:val="0"/>
          <w:sz w:val="32"/>
          <w:szCs w:val="32"/>
        </w:rPr>
        <w:t>,</w:t>
      </w:r>
      <w:r>
        <w:rPr>
          <w:rFonts w:hint="eastAsia" w:ascii="仿宋_GB2312" w:eastAsia="仿宋_GB2312" w:cs="仿宋_GB2312"/>
          <w:color w:val="auto"/>
          <w:sz w:val="32"/>
          <w:szCs w:val="32"/>
        </w:rPr>
        <w:t>坚持以习近平新时代中国特色社会主义思想为指导，积极发挥财政的基础和重要支柱作用，着力推进全</w:t>
      </w:r>
      <w:r>
        <w:rPr>
          <w:rFonts w:hint="eastAsia" w:ascii="仿宋_GB2312" w:eastAsia="仿宋_GB2312" w:cs="仿宋_GB2312"/>
          <w:color w:val="auto"/>
          <w:sz w:val="32"/>
          <w:szCs w:val="32"/>
          <w:lang w:eastAsia="zh-CN"/>
        </w:rPr>
        <w:t>区</w:t>
      </w:r>
      <w:r>
        <w:rPr>
          <w:rFonts w:hint="eastAsia" w:ascii="仿宋_GB2312" w:eastAsia="仿宋_GB2312" w:cs="仿宋_GB2312"/>
          <w:color w:val="auto"/>
          <w:sz w:val="32"/>
          <w:szCs w:val="32"/>
        </w:rPr>
        <w:t>经济高质量发展，为</w:t>
      </w:r>
      <w:r>
        <w:rPr>
          <w:rFonts w:hint="eastAsia" w:ascii="仿宋_GB2312" w:eastAsia="仿宋_GB2312" w:cs="仿宋_GB2312"/>
          <w:color w:val="auto"/>
          <w:sz w:val="32"/>
          <w:szCs w:val="32"/>
          <w:lang w:eastAsia="zh-CN"/>
        </w:rPr>
        <w:t>实现</w:t>
      </w:r>
      <w:r>
        <w:rPr>
          <w:rFonts w:hint="eastAsia" w:ascii="仿宋_GB2312" w:eastAsia="仿宋_GB2312" w:cs="仿宋_GB2312"/>
          <w:color w:val="auto"/>
          <w:sz w:val="32"/>
          <w:szCs w:val="32"/>
        </w:rPr>
        <w:t>区委提出的“一区四高五个川汇”</w:t>
      </w:r>
      <w:r>
        <w:rPr>
          <w:rFonts w:hint="eastAsia" w:ascii="仿宋_GB2312" w:eastAsia="仿宋_GB2312" w:cs="仿宋_GB2312"/>
          <w:color w:val="auto"/>
          <w:sz w:val="32"/>
          <w:szCs w:val="32"/>
          <w:lang w:eastAsia="zh-CN"/>
        </w:rPr>
        <w:t>战略</w:t>
      </w:r>
      <w:r>
        <w:rPr>
          <w:rFonts w:hint="eastAsia" w:ascii="仿宋_GB2312" w:eastAsia="仿宋_GB2312" w:cs="仿宋_GB2312"/>
          <w:color w:val="auto"/>
          <w:sz w:val="32"/>
          <w:szCs w:val="32"/>
        </w:rPr>
        <w:t>目标贡献财政力量。</w:t>
      </w:r>
    </w:p>
    <w:p>
      <w:pPr>
        <w:keepNext w:val="0"/>
        <w:keepLines w:val="0"/>
        <w:pageBreakBefore w:val="0"/>
        <w:widowControl w:val="0"/>
        <w:pBdr>
          <w:top w:val="none" w:color="000000" w:sz="0" w:space="0"/>
          <w:left w:val="none" w:color="000000" w:sz="0" w:space="0"/>
          <w:bottom w:val="none" w:color="000000" w:sz="0" w:space="31"/>
          <w:right w:val="none" w:color="000000" w:sz="0" w:space="0"/>
        </w:pBdr>
        <w:kinsoku/>
        <w:wordWrap/>
        <w:overflowPunct/>
        <w:topLinePunct w:val="0"/>
        <w:autoSpaceDE/>
        <w:autoSpaceDN/>
        <w:bidi w:val="0"/>
        <w:adjustRightInd w:val="0"/>
        <w:snapToGrid w:val="0"/>
        <w:spacing w:line="560" w:lineRule="exact"/>
        <w:ind w:firstLine="640" w:firstLineChars="200"/>
        <w:textAlignment w:val="auto"/>
        <w:rPr>
          <w:rFonts w:hint="eastAsia" w:ascii="仿宋_GB2312" w:eastAsia="仿宋_GB2312" w:cs="仿宋_GB2312"/>
          <w:color w:val="auto"/>
          <w:sz w:val="32"/>
          <w:szCs w:val="32"/>
        </w:rPr>
      </w:pPr>
      <w:r>
        <w:rPr>
          <w:rFonts w:hint="eastAsia" w:ascii="仿宋_GB2312" w:eastAsia="仿宋_GB2312" w:cs="仿宋_GB2312"/>
          <w:color w:val="auto"/>
          <w:sz w:val="32"/>
          <w:szCs w:val="32"/>
        </w:rPr>
        <w:t>以上报告，请予审议。</w:t>
      </w:r>
    </w:p>
    <w:sectPr>
      <w:footerReference r:id="rId3" w:type="default"/>
      <w:pgSz w:w="11906" w:h="16838"/>
      <w:pgMar w:top="1701" w:right="1474" w:bottom="1587" w:left="1587" w:header="851" w:footer="992" w:gutter="0"/>
      <w:pgNumType w:fmt="numberInDash"/>
      <w:cols w:space="0" w:num="1"/>
      <w:rtlGutter w:val="0"/>
      <w:docGrid w:type="lines" w:linePitch="314"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简体">
    <w:panose1 w:val="02010601030101010101"/>
    <w:charset w:val="86"/>
    <w:family w:val="auto"/>
    <w:pitch w:val="default"/>
    <w:sig w:usb0="00000001" w:usb1="080E0000" w:usb2="00000000" w:usb3="00000000" w:csb0="00040000" w:csb1="00000000"/>
  </w:font>
  <w:font w:name="楷体_GB2312">
    <w:panose1 w:val="02010609030101010101"/>
    <w:charset w:val="86"/>
    <w:family w:val="auto"/>
    <w:pitch w:val="default"/>
    <w:sig w:usb0="00000001" w:usb1="080E0000" w:usb2="00000000" w:usb3="00000000" w:csb0="00040000" w:csb1="00000000"/>
  </w:font>
  <w:font w:name="仿宋_GB2312">
    <w:panose1 w:val="02010609030101010101"/>
    <w:charset w:val="86"/>
    <w:family w:val="auto"/>
    <w:pitch w:val="default"/>
    <w:sig w:usb0="00000001" w:usb1="080E0000" w:usb2="00000000" w:usb3="00000000" w:csb0="00040000" w:csb1="0000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tabs>
        <w:tab w:val="left" w:pos="422"/>
        <w:tab w:val="clear" w:pos="4153"/>
      </w:tabs>
    </w:pPr>
    <w:r>
      <w:rPr>
        <w:sz w:val="18"/>
      </w:rPr>
      <mc:AlternateContent>
        <mc:Choice Requires="wps">
          <w:drawing>
            <wp:anchor distT="0" distB="0" distL="114300" distR="114300" simplePos="0" relativeHeight="251659264" behindDoc="0" locked="0" layoutInCell="1" allowOverlap="1">
              <wp:simplePos x="0" y="0"/>
              <wp:positionH relativeFrom="margin">
                <wp:posOffset>2542540</wp:posOffset>
              </wp:positionH>
              <wp:positionV relativeFrom="paragraph">
                <wp:posOffset>-20955</wp:posOffset>
              </wp:positionV>
              <wp:extent cx="1828800" cy="1828800"/>
              <wp:effectExtent l="0" t="0" r="0" b="0"/>
              <wp:wrapNone/>
              <wp:docPr id="2"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15875">
                        <a:noFill/>
                      </a:ln>
                    </wps:spPr>
                    <wps:txbx>
                      <w:txbxContent>
                        <w:p>
                          <w:pPr>
                            <w:pStyle w:val="4"/>
                            <w:rPr>
                              <w:rFonts w:hint="eastAsia" w:eastAsia="宋体"/>
                              <w:sz w:val="22"/>
                              <w:szCs w:val="22"/>
                              <w:lang w:eastAsia="zh-CN"/>
                            </w:rPr>
                          </w:pPr>
                          <w:r>
                            <w:rPr>
                              <w:rFonts w:hint="eastAsia"/>
                              <w:sz w:val="24"/>
                              <w:szCs w:val="24"/>
                              <w:lang w:eastAsia="zh-CN"/>
                            </w:rPr>
                            <w:fldChar w:fldCharType="begin"/>
                          </w:r>
                          <w:r>
                            <w:rPr>
                              <w:rFonts w:hint="eastAsia"/>
                              <w:sz w:val="24"/>
                              <w:szCs w:val="24"/>
                              <w:lang w:eastAsia="zh-CN"/>
                            </w:rPr>
                            <w:instrText xml:space="preserve"> PAGE  \* MERGEFORMAT </w:instrText>
                          </w:r>
                          <w:r>
                            <w:rPr>
                              <w:rFonts w:hint="eastAsia"/>
                              <w:sz w:val="24"/>
                              <w:szCs w:val="24"/>
                              <w:lang w:eastAsia="zh-CN"/>
                            </w:rPr>
                            <w:fldChar w:fldCharType="separate"/>
                          </w:r>
                          <w:r>
                            <w:rPr>
                              <w:rFonts w:hint="eastAsia"/>
                              <w:sz w:val="24"/>
                              <w:szCs w:val="24"/>
                              <w:lang w:eastAsia="zh-CN"/>
                            </w:rPr>
                            <w:t>- 1 -</w:t>
                          </w:r>
                          <w:r>
                            <w:rPr>
                              <w:rFonts w:hint="eastAsia"/>
                              <w:sz w:val="24"/>
                              <w:szCs w:val="24"/>
                              <w:lang w:eastAsia="zh-CN"/>
                            </w:rPr>
                            <w:fldChar w:fldCharType="end"/>
                          </w:r>
                        </w:p>
                      </w:txbxContent>
                    </wps:txbx>
                    <wps:bodyPr wrap="none" lIns="0" tIns="0" rIns="0" bIns="0" upright="0">
                      <a:spAutoFit/>
                    </wps:bodyPr>
                  </wps:wsp>
                </a:graphicData>
              </a:graphic>
            </wp:anchor>
          </w:drawing>
        </mc:Choice>
        <mc:Fallback>
          <w:pict>
            <v:shape id="文本框 1" o:spid="_x0000_s1026" o:spt="202" type="#_x0000_t202" style="position:absolute;left:0pt;margin-left:200.2pt;margin-top:-1.65pt;height:144pt;width:144pt;mso-position-horizontal-relative:margin;mso-wrap-style:none;z-index:251659264;mso-width-relative:page;mso-height-relative:page;" filled="f" stroked="f" coordsize="21600,21600" o:gfxdata="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">
              <v:fill on="f" focussize="0,0"/>
              <v:stroke on="f" weight="1.25pt"/>
              <v:imagedata o:title=""/>
              <o:lock v:ext="edit" aspectratio="f"/>
              <v:textbox inset="0mm,0mm,0mm,0mm" style="mso-fit-shape-to-text:t;">
                <w:txbxContent>
                  <w:p>
                    <w:pPr>
                      <w:pStyle w:val="4"/>
                      <w:rPr>
                        <w:rFonts w:hint="eastAsia" w:eastAsia="宋体"/>
                        <w:sz w:val="22"/>
                        <w:szCs w:val="22"/>
                        <w:lang w:eastAsia="zh-CN"/>
                      </w:rPr>
                    </w:pPr>
                    <w:r>
                      <w:rPr>
                        <w:rFonts w:hint="eastAsia"/>
                        <w:sz w:val="24"/>
                        <w:szCs w:val="24"/>
                        <w:lang w:eastAsia="zh-CN"/>
                      </w:rPr>
                      <w:fldChar w:fldCharType="begin"/>
                    </w:r>
                    <w:r>
                      <w:rPr>
                        <w:rFonts w:hint="eastAsia"/>
                        <w:sz w:val="24"/>
                        <w:szCs w:val="24"/>
                        <w:lang w:eastAsia="zh-CN"/>
                      </w:rPr>
                      <w:instrText xml:space="preserve"> PAGE  \* MERGEFORMAT </w:instrText>
                    </w:r>
                    <w:r>
                      <w:rPr>
                        <w:rFonts w:hint="eastAsia"/>
                        <w:sz w:val="24"/>
                        <w:szCs w:val="24"/>
                        <w:lang w:eastAsia="zh-CN"/>
                      </w:rPr>
                      <w:fldChar w:fldCharType="separate"/>
                    </w:r>
                    <w:r>
                      <w:rPr>
                        <w:rFonts w:hint="eastAsia"/>
                        <w:sz w:val="24"/>
                        <w:szCs w:val="24"/>
                        <w:lang w:eastAsia="zh-CN"/>
                      </w:rPr>
                      <w:t>- 1 -</w:t>
                    </w:r>
                    <w:r>
                      <w:rPr>
                        <w:rFonts w:hint="eastAsia"/>
                        <w:sz w:val="24"/>
                        <w:szCs w:val="24"/>
                        <w:lang w:eastAsia="zh-CN"/>
                      </w:rPr>
                      <w:fldChar w:fldCharType="end"/>
                    </w:r>
                  </w:p>
                </w:txbxContent>
              </v:textbox>
            </v:shape>
          </w:pict>
        </mc:Fallback>
      </mc:AlternateContent>
    </w:r>
    <w:r>
      <w:rPr>
        <w:rFonts w:hint="eastAsia"/>
        <w:lang w:eastAsia="zh-CN"/>
      </w:rPr>
      <w:tab/>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F1A98931"/>
    <w:multiLevelType w:val="singleLevel"/>
    <w:tmpl w:val="F1A98931"/>
    <w:lvl w:ilvl="0" w:tentative="0">
      <w:start w:val="3"/>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0"/>
  <w:bordersDoNotSurroundFooter w:val="0"/>
  <w:documentProtection w:enforcement="0"/>
  <w:defaultTabStop w:val="420"/>
  <w:drawingGridVerticalSpacing w:val="157"/>
  <w:displayHorizontalDrawingGridEvery w:val="1"/>
  <w:displayVerticalDrawingGridEvery w:val="1"/>
  <w:noPunctuationKerning w:val="1"/>
  <w:characterSpacingControl w:val="compressPunctuation"/>
  <w:hdrShapeDefaults>
    <o:shapelayout v:ext="edit">
      <o:idmap v:ext="edit" data="2"/>
    </o:shapelayout>
  </w:hdrShapeDefaults>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TkzMzQzNmE1NTM2MGFmMDFjOWViMDMxMzE1ZWY2YjcifQ=="/>
  </w:docVars>
  <w:rsids>
    <w:rsidRoot w:val="00000000"/>
    <w:rsid w:val="00263C33"/>
    <w:rsid w:val="00DA3EA5"/>
    <w:rsid w:val="02E62A5B"/>
    <w:rsid w:val="041A29A1"/>
    <w:rsid w:val="055E50A5"/>
    <w:rsid w:val="06A51468"/>
    <w:rsid w:val="077A015C"/>
    <w:rsid w:val="0923288D"/>
    <w:rsid w:val="0B236AAF"/>
    <w:rsid w:val="0B8E5BBA"/>
    <w:rsid w:val="0C4E2AE6"/>
    <w:rsid w:val="0D0414C3"/>
    <w:rsid w:val="139E5C0A"/>
    <w:rsid w:val="14773A8D"/>
    <w:rsid w:val="156C1118"/>
    <w:rsid w:val="15CC643B"/>
    <w:rsid w:val="15CE5B83"/>
    <w:rsid w:val="17852965"/>
    <w:rsid w:val="1AE94FB9"/>
    <w:rsid w:val="1BB10B44"/>
    <w:rsid w:val="1D28776C"/>
    <w:rsid w:val="1E3F7A44"/>
    <w:rsid w:val="1E824D69"/>
    <w:rsid w:val="2383441D"/>
    <w:rsid w:val="25C36B1F"/>
    <w:rsid w:val="25D778F5"/>
    <w:rsid w:val="27852853"/>
    <w:rsid w:val="281A1FE1"/>
    <w:rsid w:val="2A44045E"/>
    <w:rsid w:val="2A6E439D"/>
    <w:rsid w:val="2D6D3827"/>
    <w:rsid w:val="31E45338"/>
    <w:rsid w:val="321C39D9"/>
    <w:rsid w:val="33082597"/>
    <w:rsid w:val="33214648"/>
    <w:rsid w:val="34C30F00"/>
    <w:rsid w:val="38E84395"/>
    <w:rsid w:val="390B6F45"/>
    <w:rsid w:val="391C48DA"/>
    <w:rsid w:val="39C11BC9"/>
    <w:rsid w:val="39FB0BFE"/>
    <w:rsid w:val="3A4B3254"/>
    <w:rsid w:val="3AA41EF6"/>
    <w:rsid w:val="3B334933"/>
    <w:rsid w:val="3BC346EE"/>
    <w:rsid w:val="3BE77FA8"/>
    <w:rsid w:val="3DB47D01"/>
    <w:rsid w:val="3F404AC1"/>
    <w:rsid w:val="42D812EB"/>
    <w:rsid w:val="434D56D5"/>
    <w:rsid w:val="44B032A4"/>
    <w:rsid w:val="45FA5496"/>
    <w:rsid w:val="473311E6"/>
    <w:rsid w:val="483E29BA"/>
    <w:rsid w:val="48DA18A9"/>
    <w:rsid w:val="4B82443D"/>
    <w:rsid w:val="4DF7375A"/>
    <w:rsid w:val="4E4D2BF8"/>
    <w:rsid w:val="4F2F1960"/>
    <w:rsid w:val="4FD70133"/>
    <w:rsid w:val="51A75F41"/>
    <w:rsid w:val="53DE3D80"/>
    <w:rsid w:val="53F654B5"/>
    <w:rsid w:val="541A6403"/>
    <w:rsid w:val="546B31A6"/>
    <w:rsid w:val="569B2FC0"/>
    <w:rsid w:val="56AD329E"/>
    <w:rsid w:val="573754C8"/>
    <w:rsid w:val="578515EA"/>
    <w:rsid w:val="59DB52D9"/>
    <w:rsid w:val="5C9A1694"/>
    <w:rsid w:val="5CCE3A33"/>
    <w:rsid w:val="5E094C6B"/>
    <w:rsid w:val="60182E76"/>
    <w:rsid w:val="62432B8A"/>
    <w:rsid w:val="636C365E"/>
    <w:rsid w:val="655811BD"/>
    <w:rsid w:val="67F37FBC"/>
    <w:rsid w:val="69A41DA4"/>
    <w:rsid w:val="69A936D7"/>
    <w:rsid w:val="6B333C8B"/>
    <w:rsid w:val="6C092A4A"/>
    <w:rsid w:val="70850334"/>
    <w:rsid w:val="74485A21"/>
    <w:rsid w:val="74B81E46"/>
    <w:rsid w:val="77A967D7"/>
    <w:rsid w:val="79C37149"/>
    <w:rsid w:val="7AB74B21"/>
    <w:rsid w:val="7B9F266C"/>
    <w:rsid w:val="7D020E63"/>
    <w:rsid w:val="7D0544BF"/>
    <w:rsid w:val="7ED160D1"/>
  </w:rsids>
  <m:mathPr>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t" stroke="t">
      <v:fill type="gradient" on="t" angle="90" focussize="0f,0f" focusposition="0f,0f">
        <o:fill type="gradientUnscaled" v:ext="backwardCompatible"/>
      </v:fill>
      <v:stroke weight="1.25pt" color="#739CC3"/>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iPriority="99"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nhideWhenUsed="0" w:uiPriority="0" w:semiHidden="0" w:name="Balloon Text"/>
    <w:lsdException w:uiPriority="99"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szCs w:val="21"/>
      <w:lang w:val="en-US" w:eastAsia="zh-CN" w:bidi="ar-SA"/>
    </w:rPr>
  </w:style>
  <w:style w:type="paragraph" w:styleId="3">
    <w:name w:val="heading 2"/>
    <w:basedOn w:val="1"/>
    <w:next w:val="1"/>
    <w:qFormat/>
    <w:uiPriority w:val="0"/>
    <w:pPr>
      <w:keepNext/>
      <w:keepLines/>
      <w:spacing w:before="260" w:after="260" w:line="416" w:lineRule="auto"/>
      <w:outlineLvl w:val="1"/>
    </w:pPr>
    <w:rPr>
      <w:rFonts w:ascii="Arial" w:hAnsi="Arial" w:eastAsia="黑体"/>
      <w:b/>
      <w:bCs/>
      <w:sz w:val="32"/>
      <w:szCs w:val="32"/>
    </w:rPr>
  </w:style>
  <w:style w:type="character" w:default="1" w:styleId="7">
    <w:name w:val="Default Paragraph Font"/>
    <w:semiHidden/>
    <w:qFormat/>
    <w:uiPriority w:val="0"/>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Body Text"/>
    <w:basedOn w:val="1"/>
    <w:next w:val="1"/>
    <w:unhideWhenUsed/>
    <w:qFormat/>
    <w:uiPriority w:val="99"/>
    <w:pPr>
      <w:spacing w:after="120"/>
    </w:pPr>
  </w:style>
  <w:style w:type="paragraph" w:styleId="4">
    <w:name w:val="footer"/>
    <w:basedOn w:val="1"/>
    <w:qFormat/>
    <w:uiPriority w:val="0"/>
    <w:pPr>
      <w:tabs>
        <w:tab w:val="center" w:pos="4153"/>
        <w:tab w:val="right" w:pos="8306"/>
      </w:tabs>
      <w:snapToGrid w:val="0"/>
      <w:jc w:val="left"/>
    </w:pPr>
    <w:rPr>
      <w:sz w:val="18"/>
    </w:rPr>
  </w:style>
  <w:style w:type="paragraph" w:styleId="5">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customStyle="1" w:styleId="8">
    <w:name w:val="BodyText1I"/>
    <w:basedOn w:val="9"/>
    <w:next w:val="11"/>
    <w:qFormat/>
    <w:uiPriority w:val="0"/>
    <w:pPr>
      <w:ind w:firstLine="976" w:firstLineChars="200"/>
    </w:pPr>
  </w:style>
  <w:style w:type="paragraph" w:customStyle="1" w:styleId="9">
    <w:name w:val="BodyText"/>
    <w:basedOn w:val="1"/>
    <w:next w:val="10"/>
    <w:qFormat/>
    <w:uiPriority w:val="0"/>
    <w:pPr>
      <w:spacing w:after="120"/>
      <w:textAlignment w:val="baseline"/>
    </w:pPr>
  </w:style>
  <w:style w:type="paragraph" w:customStyle="1" w:styleId="10">
    <w:name w:val="BodyText2"/>
    <w:basedOn w:val="1"/>
    <w:qFormat/>
    <w:uiPriority w:val="0"/>
    <w:pPr>
      <w:ind w:left="-45" w:leftChars="-45" w:hanging="132" w:hangingChars="45"/>
      <w:textAlignment w:val="baseline"/>
    </w:pPr>
    <w:rPr>
      <w:rFonts w:ascii="宋体" w:hAnsi="宋体"/>
    </w:rPr>
  </w:style>
  <w:style w:type="paragraph" w:customStyle="1" w:styleId="11">
    <w:name w:val="BodyText1I2"/>
    <w:basedOn w:val="12"/>
    <w:qFormat/>
    <w:uiPriority w:val="0"/>
    <w:pPr>
      <w:spacing w:line="360" w:lineRule="auto"/>
    </w:pPr>
    <w:rPr>
      <w:szCs w:val="22"/>
    </w:rPr>
  </w:style>
  <w:style w:type="paragraph" w:customStyle="1" w:styleId="12">
    <w:name w:val="BodyTextIndent"/>
    <w:basedOn w:val="1"/>
    <w:qFormat/>
    <w:uiPriority w:val="0"/>
    <w:pPr>
      <w:spacing w:after="120"/>
      <w:ind w:left="420" w:leftChars="200"/>
      <w:textAlignment w:val="baseline"/>
    </w:pPr>
    <w:rPr>
      <w:szCs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CCE8C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8</Pages>
  <Words>3575</Words>
  <Characters>4253</Characters>
  <Lines>0</Lines>
  <Paragraphs>0</Paragraphs>
  <TotalTime>5</TotalTime>
  <ScaleCrop>false</ScaleCrop>
  <LinksUpToDate>false</LinksUpToDate>
  <CharactersWithSpaces>4267</CharactersWithSpaces>
  <Application>WPS Office_11.1.0.11753_F1E327BC-269C-435d-A152-05C5408002CA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2014-10-29T12:08:00Z</dcterms:created>
  <dc:creator>lenovo</dc:creator>
  <cp:lastModifiedBy>川汇区人民政府</cp:lastModifiedBy>
  <cp:lastPrinted>2022-07-14T10:12:00Z</cp:lastPrinted>
  <dcterms:modified xsi:type="dcterms:W3CDTF">2022-07-25T00:59:17Z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2052-11.1.0.11753</vt:lpwstr>
  </property>
  <property fmtid="{D5CDD505-2E9C-101B-9397-08002B2CF9AE}" pid="3" name="ICV">
    <vt:lpwstr>061C1D7B17BA482CB1028B6BACF6DF98</vt:lpwstr>
  </property>
</Properties>
</file>