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center"/>
        <w:rPr>
          <w:rFonts w:hint="default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</w:rPr>
        <w:t>2023年川汇区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统计公报</w:t>
      </w:r>
    </w:p>
    <w:p>
      <w:pPr>
        <w:ind w:firstLine="3200" w:firstLineChars="1000"/>
        <w:rPr>
          <w:rFonts w:hint="default" w:eastAsia="仿宋_GB2312"/>
          <w:lang w:val="en-US" w:eastAsia="zh-CN"/>
        </w:rPr>
      </w:pPr>
    </w:p>
    <w:p>
      <w:pPr>
        <w:ind w:firstLine="640"/>
      </w:pPr>
    </w:p>
    <w:p>
      <w:pPr>
        <w:ind w:firstLine="640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2023年，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面对严峻复杂的发展环境，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我们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none"/>
          <w:lang w:eastAsia="zh-CN"/>
          <w14:textFill>
            <w14:solidFill>
              <w14:schemeClr w14:val="tx1"/>
            </w14:solidFill>
          </w14:textFill>
        </w:rPr>
        <w:t>坚持以习近平新时代中国特色社会主义思想为指导，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highlight w:val="none"/>
          <w:u w:val="none"/>
          <w:lang w:val="en-US" w:eastAsia="zh-CN" w:bidi="ar-SA"/>
          <w14:textFill>
            <w14:solidFill>
              <w14:schemeClr w14:val="tx1"/>
            </w14:solidFill>
          </w14:textFill>
        </w:rPr>
        <w:t>积极应对经济运行波动幅度较大、多重挑战叠加共振的困难局面，前瞻性调度施策，点对点优化服务，精准落实中央、省、市提振市场信心、扩大内需等一揽子政策措施。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坚定聚焦“两端”发力、建设“三区三河”的发展思路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全力以赴拼经济、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惠民生、防风险，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highlight w:val="none"/>
          <w:u w:val="none"/>
          <w:lang w:val="en-US" w:eastAsia="zh-CN" w:bidi="ar-SA"/>
          <w14:textFill>
            <w14:solidFill>
              <w14:schemeClr w14:val="tx1"/>
            </w14:solidFill>
          </w14:textFill>
        </w:rPr>
        <w:t>推动经济稳中有进、进中提质。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着力推动经济加快恢复与高质量发展，全</w:t>
      </w:r>
      <w:r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经济运行持续向好、高质量发展步伐坚实。</w:t>
      </w:r>
    </w:p>
    <w:p>
      <w:pPr>
        <w:ind w:firstLine="640"/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14:textFill>
            <w14:solidFill>
              <w14:schemeClr w14:val="tx1"/>
            </w14:solidFill>
          </w14:textFill>
        </w:rPr>
        <w:t>一、农业生产稳中向好，粮食产量</w:t>
      </w: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逐年提高。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 w:line="660" w:lineRule="exact"/>
        <w:ind w:left="0" w:right="0" w:firstLine="640" w:firstLineChars="200"/>
        <w:jc w:val="both"/>
        <w:rPr>
          <w:rFonts w:hint="eastAsia" w:ascii="仿宋_GB2312" w:eastAsia="仿宋_GB2312" w:cs="Times New Roman"/>
          <w:kern w:val="2"/>
          <w:sz w:val="32"/>
          <w:szCs w:val="32"/>
        </w:rPr>
      </w:pP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2023年，川汇区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粮食生产再获丰收，粮食总产量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6853.79万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斤，</w:t>
      </w:r>
      <w:r>
        <w:rPr>
          <w:rFonts w:hint="eastAsia" w:cs="仿宋_GB2312"/>
          <w:kern w:val="2"/>
          <w:sz w:val="32"/>
          <w:szCs w:val="32"/>
          <w:lang w:val="en-US" w:eastAsia="zh-CN" w:bidi="ar"/>
        </w:rPr>
        <w:t>增产394.52万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</w:t>
      </w:r>
      <w:r>
        <w:rPr>
          <w:rFonts w:hint="eastAsia" w:cs="仿宋_GB2312"/>
          <w:kern w:val="2"/>
          <w:sz w:val="32"/>
          <w:szCs w:val="32"/>
          <w:lang w:val="en-US" w:eastAsia="zh-CN" w:bidi="ar"/>
        </w:rPr>
        <w:t>，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连续两年超过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6000万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斤。其中，夏粮生产克服连续降雨等不利因素影响，实现产量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4126.25万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斤，较上年减产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93.67万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斤；以秋补夏措施成效明显，秋粮产量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2727.54万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斤，较上年增产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"/>
        </w:rPr>
        <w:t>488.19万</w:t>
      </w:r>
      <w:r>
        <w:rPr>
          <w:rFonts w:hint="eastAsia" w:ascii="仿宋_GB2312" w:eastAsia="仿宋_GB2312" w:cs="仿宋_GB2312" w:hAnsiTheme="minorHAnsi"/>
          <w:kern w:val="2"/>
          <w:sz w:val="32"/>
          <w:szCs w:val="32"/>
          <w:lang w:val="en-US" w:eastAsia="zh-CN" w:bidi="ar"/>
        </w:rPr>
        <w:t>斤。</w:t>
      </w:r>
    </w:p>
    <w:p>
      <w:pPr>
        <w:ind w:left="0" w:leftChars="0" w:firstLine="640" w:firstLineChars="200"/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14:textFill>
            <w14:solidFill>
              <w14:schemeClr w14:val="tx1"/>
            </w14:solidFill>
          </w14:textFill>
        </w:rPr>
        <w:t>二、工业生产稳中有进，新质生产力快速增长</w:t>
      </w:r>
      <w:r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ind w:firstLine="640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2023年，全区规模以上工业增加值同比增长8.9%</w:t>
      </w:r>
      <w:r>
        <w:rPr>
          <w:rFonts w:hint="eastAsia" w:ascii="仿宋_GB2312" w:hAnsi="仿宋_GB2312" w:eastAsia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lang w:bidi="ar"/>
          <w14:textFill>
            <w14:solidFill>
              <w14:schemeClr w14:val="tx1"/>
            </w14:solidFill>
          </w14:textFill>
        </w:rPr>
        <w:t>高于</w:t>
      </w:r>
      <w:r>
        <w:rPr>
          <w:rFonts w:hint="eastAsia" w:hAnsi="仿宋_GB2312" w:cs="仿宋_GB2312"/>
          <w:color w:val="000000" w:themeColor="text1"/>
          <w:lang w:val="en-US" w:eastAsia="zh-CN" w:bidi="ar"/>
          <w14:textFill>
            <w14:solidFill>
              <w14:schemeClr w14:val="tx1"/>
            </w14:solidFill>
          </w14:textFill>
        </w:rPr>
        <w:t>市平均</w:t>
      </w:r>
      <w:r>
        <w:rPr>
          <w:rFonts w:hint="eastAsia" w:ascii="仿宋_GB2312" w:hAnsi="仿宋_GB2312" w:eastAsia="仿宋_GB2312" w:cs="仿宋_GB2312"/>
          <w:color w:val="000000" w:themeColor="text1"/>
          <w:lang w:bidi="ar"/>
          <w14:textFill>
            <w14:solidFill>
              <w14:schemeClr w14:val="tx1"/>
            </w14:solidFill>
          </w14:textFill>
        </w:rPr>
        <w:t>3.9个百分点</w:t>
      </w:r>
      <w:r>
        <w:rPr>
          <w:rFonts w:hint="eastAsia" w:ascii="仿宋_GB2312" w:hAnsi="仿宋_GB2312" w:eastAsia="仿宋_GB2312" w:cs="仿宋_GB2312"/>
          <w:color w:val="000000" w:themeColor="text1"/>
          <w:lang w:eastAsia="zh-CN" w:bidi="ar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部分行业</w:t>
      </w:r>
      <w:r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增加值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增长较快，其中，通用设备制造业增加值增长303%，计算机、通信和其他电子设备制造业增加值增长120%，电气机械和器材制造业增加值增长60%。高新产业拉动增长</w:t>
      </w:r>
      <w:r>
        <w:rPr>
          <w:rFonts w:hint="eastAsia" w:hAnsi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明显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，全区高新技术产业增加值增长38.48%，战略性新兴产业增加值增长34.3%。</w:t>
      </w:r>
    </w:p>
    <w:p>
      <w:pPr>
        <w:ind w:firstLine="640"/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 w:cs="黑体"/>
          <w:color w:val="000000" w:themeColor="text1"/>
          <w14:textFill>
            <w14:solidFill>
              <w14:schemeClr w14:val="tx1"/>
            </w14:solidFill>
          </w14:textFill>
        </w:rPr>
        <w:t>、项目投资驱动有力，投资实现快速增长</w:t>
      </w:r>
      <w:r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ind w:firstLine="640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2023年，全区固定资产投资同比增长16.1%，</w:t>
      </w:r>
      <w:r>
        <w:rPr>
          <w:rStyle w:val="9"/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高于市</w:t>
      </w:r>
      <w:r>
        <w:rPr>
          <w:rStyle w:val="9"/>
          <w:rFonts w:hint="eastAsia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平均</w:t>
      </w:r>
      <w:r>
        <w:rPr>
          <w:rStyle w:val="9"/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5.6个百分点</w:t>
      </w:r>
      <w:r>
        <w:rPr>
          <w:rStyle w:val="9"/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项目建设提速推进，投资项目增长17.6%，高于全部投资增速1.5个百分点。工业投资增势良好，全区工业投资增长38.3%</w:t>
      </w:r>
      <w:r>
        <w:rPr>
          <w:rFonts w:hint="eastAsia" w:hAnsi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其中，战略性新兴产业投资增长17%。房地产投资稳中有进，全区房地产开发投资增长11.4%。其中，商品房销售面积、销售额分别增长24.8%、49.7%。</w:t>
      </w:r>
    </w:p>
    <w:p>
      <w:pPr>
        <w:ind w:firstLine="640"/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黑体" w:hAnsi="黑体" w:eastAsia="黑体" w:cs="黑体"/>
          <w:color w:val="000000" w:themeColor="text1"/>
          <w14:textFill>
            <w14:solidFill>
              <w14:schemeClr w14:val="tx1"/>
            </w14:solidFill>
          </w14:textFill>
        </w:rPr>
        <w:t>、消费需求稳步向好，城</w:t>
      </w: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镇消费旺盛</w:t>
      </w:r>
      <w:r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ind w:firstLine="640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2023年，全区社会消费品零售总额同比增长7.2%</w:t>
      </w:r>
      <w:r>
        <w:rPr>
          <w:rFonts w:hint="eastAsia" w:ascii="仿宋_GB2312" w:hAnsi="仿宋_GB2312" w:eastAsia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高于市</w:t>
      </w:r>
      <w:r>
        <w:rPr>
          <w:rFonts w:hint="eastAsia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0.8个百分点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城</w:t>
      </w:r>
      <w:r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消费潜力释放</w:t>
      </w:r>
      <w:r>
        <w:rPr>
          <w:rFonts w:hint="eastAsia" w:ascii="仿宋_GB2312" w:hAnsi="仿宋_GB2312" w:eastAsia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全区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城镇消费品零售额增长7.3%，其中城区消费品零售额增长7.4%</w:t>
      </w:r>
      <w:r>
        <w:rPr>
          <w:rFonts w:hint="eastAsia" w:ascii="仿宋_GB2312" w:hAnsi="仿宋_GB2312" w:eastAsia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高于市1.6个百分点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。接触类消费恢复较快，全区批发零售业零售额增长25.2%，其中零售业零售额增长71.2%。出行类消费复苏较快，全区限额以上单位石油及制品类商品零售额增长</w:t>
      </w:r>
      <w:r>
        <w:rPr>
          <w:rFonts w:hint="eastAsia" w:ascii="仿宋_GB2312" w:hAnsi="仿宋_GB2312" w:eastAsia="仿宋_GB2312" w:cs="仿宋_GB2312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15.6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%</w:t>
      </w:r>
      <w:r>
        <w:rPr>
          <w:rFonts w:hint="eastAsia" w:ascii="仿宋_GB2312" w:hAnsi="仿宋_GB2312" w:eastAsia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新能源汽车零售额增长48.7%。基本生活类消费稳定增长，全区限额以上单位服装、鞋帽、针织品类、烟酒类零售额分别增长22%、19.7%。</w:t>
      </w:r>
    </w:p>
    <w:p>
      <w:pPr>
        <w:ind w:firstLine="640"/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黑体" w:hAnsi="黑体" w:eastAsia="黑体" w:cs="黑体"/>
          <w:color w:val="000000" w:themeColor="text1"/>
          <w14:textFill>
            <w14:solidFill>
              <w14:schemeClr w14:val="tx1"/>
            </w14:solidFill>
          </w14:textFill>
        </w:rPr>
        <w:t>、服务业恢复步伐加快，部分行业支撑较强</w:t>
      </w:r>
      <w:r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ind w:firstLine="640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2023年，规模以上其他营利性服务业增长较快，全区规模以上服务业营业收入同比增长13.4%</w:t>
      </w:r>
      <w:r>
        <w:rPr>
          <w:rFonts w:hint="eastAsia" w:hAnsi="仿宋_GB2312" w:cs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hAnsi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高于市平均5.6个百分点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。其中，其他营利性服务业营业收入增长26.</w:t>
      </w:r>
      <w:r>
        <w:rPr>
          <w:rFonts w:hint="eastAsia" w:hAnsi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%，科学研究和技术服务业营业收入增长28.</w:t>
      </w:r>
      <w:r>
        <w:rPr>
          <w:rFonts w:hint="eastAsia" w:hAnsi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%，文化、体育和娱乐业营业收入增长82.8%。</w:t>
      </w:r>
    </w:p>
    <w:p>
      <w:pPr>
        <w:ind w:firstLine="640"/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六、</w:t>
      </w:r>
      <w:r>
        <w:rPr>
          <w:rFonts w:hint="eastAsia" w:ascii="黑体" w:hAnsi="黑体" w:eastAsia="黑体" w:cs="黑体"/>
          <w:color w:val="000000" w:themeColor="text1"/>
          <w14:textFill>
            <w14:solidFill>
              <w14:schemeClr w14:val="tx1"/>
            </w14:solidFill>
          </w14:textFill>
        </w:rPr>
        <w:t>城乡居民收入稳步增长</w:t>
      </w:r>
      <w:r>
        <w:rPr>
          <w:rFonts w:hint="eastAsia" w:ascii="黑体" w:hAnsi="黑体" w:eastAsia="黑体" w:cs="黑体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幸福指数逐年提升。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，全区城镇居民人均可支配收入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达35994.1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元，同比增长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%，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较2022年增加1863.5元；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村居民人均可支配收入达21617.1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元，同比增长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7.4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%，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较2022年增加1481.9元，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人均可支配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收入净增额均为全市最高。</w:t>
      </w:r>
    </w:p>
    <w:p>
      <w:pPr>
        <w:ind w:firstLine="640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2024年，要坚持以习近平新时代中国特色社会主义思想为指导，坚持稳中求进总基调，坚持以进促稳、先立后破，着力转方式、调结构、提质量、增效益，切实增活力、提信心、稳预期、防风险，巩固和增强经济回升向好态势，持续推动全</w:t>
      </w:r>
      <w:r>
        <w:rPr>
          <w:rFonts w:hint="eastAsia" w:ascii="仿宋_GB2312" w:hAnsi="仿宋_GB2312" w:eastAsia="仿宋_GB2312" w:cs="仿宋_GB2312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t>经济实现质的有效提升和量的合理增长。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  <w:docPartObj>
        <w:docPartGallery w:val="autotext"/>
      </w:docPartObj>
    </w:sdtPr>
    <w:sdtContent>
      <w:p>
        <w:pPr>
          <w:pStyle w:val="3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MyMTZmZDEwN2YzZTkzMTYwZjFiMmM4OTUxOTBiY2MifQ=="/>
  </w:docVars>
  <w:rsids>
    <w:rsidRoot w:val="00782AF7"/>
    <w:rsid w:val="001E64A0"/>
    <w:rsid w:val="00381C53"/>
    <w:rsid w:val="00384B9C"/>
    <w:rsid w:val="00735093"/>
    <w:rsid w:val="00782AF7"/>
    <w:rsid w:val="008322BB"/>
    <w:rsid w:val="01064C9A"/>
    <w:rsid w:val="01CE3A0A"/>
    <w:rsid w:val="02033B37"/>
    <w:rsid w:val="021D2D7C"/>
    <w:rsid w:val="02654FC5"/>
    <w:rsid w:val="02C93CBB"/>
    <w:rsid w:val="03555A65"/>
    <w:rsid w:val="04702B56"/>
    <w:rsid w:val="05351188"/>
    <w:rsid w:val="06AB431A"/>
    <w:rsid w:val="06DA31A5"/>
    <w:rsid w:val="07B76CEE"/>
    <w:rsid w:val="07F12200"/>
    <w:rsid w:val="097C1F9D"/>
    <w:rsid w:val="099C263F"/>
    <w:rsid w:val="0A5371A2"/>
    <w:rsid w:val="0AD50786"/>
    <w:rsid w:val="0BED0F30"/>
    <w:rsid w:val="0C4F3999"/>
    <w:rsid w:val="0EBD34B3"/>
    <w:rsid w:val="0EBE6BB4"/>
    <w:rsid w:val="0EC341CA"/>
    <w:rsid w:val="0EE035FE"/>
    <w:rsid w:val="0EE83C31"/>
    <w:rsid w:val="0EF14C98"/>
    <w:rsid w:val="11625F1D"/>
    <w:rsid w:val="12411FD6"/>
    <w:rsid w:val="128B4FFF"/>
    <w:rsid w:val="129640D0"/>
    <w:rsid w:val="13182D37"/>
    <w:rsid w:val="13250FB0"/>
    <w:rsid w:val="146B6E96"/>
    <w:rsid w:val="14C01D8E"/>
    <w:rsid w:val="15EF3AF7"/>
    <w:rsid w:val="16F77107"/>
    <w:rsid w:val="18357EE7"/>
    <w:rsid w:val="18CB25F9"/>
    <w:rsid w:val="18F71640"/>
    <w:rsid w:val="193219B3"/>
    <w:rsid w:val="19BB441C"/>
    <w:rsid w:val="19F73BFF"/>
    <w:rsid w:val="1A0C111B"/>
    <w:rsid w:val="1A562397"/>
    <w:rsid w:val="1A7C004F"/>
    <w:rsid w:val="1AF44089"/>
    <w:rsid w:val="1BA809D0"/>
    <w:rsid w:val="1C316C17"/>
    <w:rsid w:val="1C33298F"/>
    <w:rsid w:val="1CED7E44"/>
    <w:rsid w:val="1D6152DA"/>
    <w:rsid w:val="1DE008F5"/>
    <w:rsid w:val="1F3233D2"/>
    <w:rsid w:val="1F5275D0"/>
    <w:rsid w:val="1FDD54DB"/>
    <w:rsid w:val="202A22FB"/>
    <w:rsid w:val="21466CC1"/>
    <w:rsid w:val="230961F8"/>
    <w:rsid w:val="231F3C6E"/>
    <w:rsid w:val="23E7F71D"/>
    <w:rsid w:val="245B0CD5"/>
    <w:rsid w:val="263D7662"/>
    <w:rsid w:val="26E86A6C"/>
    <w:rsid w:val="28100029"/>
    <w:rsid w:val="286F2FA1"/>
    <w:rsid w:val="28EC101B"/>
    <w:rsid w:val="2903193C"/>
    <w:rsid w:val="294C04B3"/>
    <w:rsid w:val="295674F2"/>
    <w:rsid w:val="2A9860B3"/>
    <w:rsid w:val="2B373B1E"/>
    <w:rsid w:val="2B4A3852"/>
    <w:rsid w:val="2CA96F0A"/>
    <w:rsid w:val="2D7B7CF2"/>
    <w:rsid w:val="2E20089A"/>
    <w:rsid w:val="2E690493"/>
    <w:rsid w:val="2FA370A1"/>
    <w:rsid w:val="2FCFEF38"/>
    <w:rsid w:val="2FE029D7"/>
    <w:rsid w:val="2FFFDDC5"/>
    <w:rsid w:val="305F1B4D"/>
    <w:rsid w:val="31295CB7"/>
    <w:rsid w:val="32C739DA"/>
    <w:rsid w:val="32E77BD8"/>
    <w:rsid w:val="339B7340"/>
    <w:rsid w:val="33F26834"/>
    <w:rsid w:val="34B34216"/>
    <w:rsid w:val="34F5E335"/>
    <w:rsid w:val="3700570C"/>
    <w:rsid w:val="370276D6"/>
    <w:rsid w:val="38170F5F"/>
    <w:rsid w:val="388E25E0"/>
    <w:rsid w:val="38BF587F"/>
    <w:rsid w:val="38C34688"/>
    <w:rsid w:val="39D709A6"/>
    <w:rsid w:val="3A0B4AF4"/>
    <w:rsid w:val="3A443CA8"/>
    <w:rsid w:val="3AA27206"/>
    <w:rsid w:val="3AFFE227"/>
    <w:rsid w:val="3B9D4C98"/>
    <w:rsid w:val="3CF578B9"/>
    <w:rsid w:val="3D7F382F"/>
    <w:rsid w:val="3D9170BE"/>
    <w:rsid w:val="3D9FCE4A"/>
    <w:rsid w:val="3E482613"/>
    <w:rsid w:val="3E492902"/>
    <w:rsid w:val="3EA3300B"/>
    <w:rsid w:val="3F281CA4"/>
    <w:rsid w:val="3F43088C"/>
    <w:rsid w:val="3F650802"/>
    <w:rsid w:val="3FAD3444"/>
    <w:rsid w:val="3FC01EDD"/>
    <w:rsid w:val="3FC03C8B"/>
    <w:rsid w:val="3FF70163"/>
    <w:rsid w:val="3FFF8121"/>
    <w:rsid w:val="41173D7E"/>
    <w:rsid w:val="41C2018E"/>
    <w:rsid w:val="434B5F61"/>
    <w:rsid w:val="436D237B"/>
    <w:rsid w:val="44BA6EFA"/>
    <w:rsid w:val="44C24FB4"/>
    <w:rsid w:val="45C63557"/>
    <w:rsid w:val="45FF01A2"/>
    <w:rsid w:val="4654512D"/>
    <w:rsid w:val="478F0B12"/>
    <w:rsid w:val="4819662E"/>
    <w:rsid w:val="482C6361"/>
    <w:rsid w:val="48AA54D8"/>
    <w:rsid w:val="49E31136"/>
    <w:rsid w:val="4A0A4480"/>
    <w:rsid w:val="4A8F2BD7"/>
    <w:rsid w:val="4AD52CE0"/>
    <w:rsid w:val="4BD905AE"/>
    <w:rsid w:val="4C2C2DD4"/>
    <w:rsid w:val="4CA74208"/>
    <w:rsid w:val="4CC823D1"/>
    <w:rsid w:val="4D5F0F87"/>
    <w:rsid w:val="4D782049"/>
    <w:rsid w:val="4E452C43"/>
    <w:rsid w:val="50852AB2"/>
    <w:rsid w:val="5095081C"/>
    <w:rsid w:val="50AD025B"/>
    <w:rsid w:val="51E41A5B"/>
    <w:rsid w:val="533B1B4E"/>
    <w:rsid w:val="534D53DE"/>
    <w:rsid w:val="53CE651E"/>
    <w:rsid w:val="544762D1"/>
    <w:rsid w:val="5523289A"/>
    <w:rsid w:val="555869E7"/>
    <w:rsid w:val="55E4168C"/>
    <w:rsid w:val="560721BC"/>
    <w:rsid w:val="56372AA1"/>
    <w:rsid w:val="564B3E56"/>
    <w:rsid w:val="577D0987"/>
    <w:rsid w:val="57851040"/>
    <w:rsid w:val="57BBF78D"/>
    <w:rsid w:val="582C415B"/>
    <w:rsid w:val="59575208"/>
    <w:rsid w:val="597E09E7"/>
    <w:rsid w:val="5A9C1D66"/>
    <w:rsid w:val="5A9CE104"/>
    <w:rsid w:val="5AD716FC"/>
    <w:rsid w:val="5B1F3B03"/>
    <w:rsid w:val="5B337BDB"/>
    <w:rsid w:val="5BDD7F17"/>
    <w:rsid w:val="5D804D2D"/>
    <w:rsid w:val="5E070FAB"/>
    <w:rsid w:val="5E850121"/>
    <w:rsid w:val="5EA762EA"/>
    <w:rsid w:val="5EEB500B"/>
    <w:rsid w:val="5EFD23AE"/>
    <w:rsid w:val="5F41673E"/>
    <w:rsid w:val="5FA36AB1"/>
    <w:rsid w:val="5FC86518"/>
    <w:rsid w:val="5FDE49F5"/>
    <w:rsid w:val="5FE3E5C6"/>
    <w:rsid w:val="5FE84E0C"/>
    <w:rsid w:val="601B6F8F"/>
    <w:rsid w:val="60AA3E6F"/>
    <w:rsid w:val="61025A59"/>
    <w:rsid w:val="610572F8"/>
    <w:rsid w:val="61477910"/>
    <w:rsid w:val="61891CD7"/>
    <w:rsid w:val="62A3326C"/>
    <w:rsid w:val="635307EE"/>
    <w:rsid w:val="638B442C"/>
    <w:rsid w:val="63AC3C5F"/>
    <w:rsid w:val="63D0068E"/>
    <w:rsid w:val="63DF88AE"/>
    <w:rsid w:val="6509385A"/>
    <w:rsid w:val="65AC068A"/>
    <w:rsid w:val="65AE4402"/>
    <w:rsid w:val="65B6735C"/>
    <w:rsid w:val="65EB7404"/>
    <w:rsid w:val="66B35D41"/>
    <w:rsid w:val="66DE2AC5"/>
    <w:rsid w:val="67D30150"/>
    <w:rsid w:val="67EE31DB"/>
    <w:rsid w:val="68D51CA5"/>
    <w:rsid w:val="69272501"/>
    <w:rsid w:val="6987701B"/>
    <w:rsid w:val="6A1C5DDE"/>
    <w:rsid w:val="6A9E4A45"/>
    <w:rsid w:val="6AA45DD3"/>
    <w:rsid w:val="6ACB3360"/>
    <w:rsid w:val="6B014FD4"/>
    <w:rsid w:val="6BA77929"/>
    <w:rsid w:val="6BC06C3D"/>
    <w:rsid w:val="6CE85773"/>
    <w:rsid w:val="6D472549"/>
    <w:rsid w:val="6DE54739"/>
    <w:rsid w:val="6FDFD4AE"/>
    <w:rsid w:val="70B07280"/>
    <w:rsid w:val="716B13F9"/>
    <w:rsid w:val="724A7260"/>
    <w:rsid w:val="72936E59"/>
    <w:rsid w:val="73FC0A2E"/>
    <w:rsid w:val="74082F2F"/>
    <w:rsid w:val="74687E72"/>
    <w:rsid w:val="755723C0"/>
    <w:rsid w:val="758331B5"/>
    <w:rsid w:val="75C7C56B"/>
    <w:rsid w:val="75DB4D9F"/>
    <w:rsid w:val="770B3871"/>
    <w:rsid w:val="77102820"/>
    <w:rsid w:val="77DF9445"/>
    <w:rsid w:val="77EFE523"/>
    <w:rsid w:val="78B3649E"/>
    <w:rsid w:val="791E3C29"/>
    <w:rsid w:val="794B223C"/>
    <w:rsid w:val="795F1843"/>
    <w:rsid w:val="79975481"/>
    <w:rsid w:val="79EE3921"/>
    <w:rsid w:val="7A707A80"/>
    <w:rsid w:val="7BE47BD1"/>
    <w:rsid w:val="7BE91898"/>
    <w:rsid w:val="7BFFE3EE"/>
    <w:rsid w:val="7DFFC117"/>
    <w:rsid w:val="7EF772CC"/>
    <w:rsid w:val="7EFFE8E5"/>
    <w:rsid w:val="7F7EE1AE"/>
    <w:rsid w:val="7F7EE6BD"/>
    <w:rsid w:val="7F8D4611"/>
    <w:rsid w:val="7FA6BE8D"/>
    <w:rsid w:val="7FAFE019"/>
    <w:rsid w:val="7FBF2BB9"/>
    <w:rsid w:val="7FFF3483"/>
    <w:rsid w:val="9587B883"/>
    <w:rsid w:val="9FCB7D7D"/>
    <w:rsid w:val="AABF3F77"/>
    <w:rsid w:val="AAF7BC96"/>
    <w:rsid w:val="AFCCEE58"/>
    <w:rsid w:val="B9BBFC9B"/>
    <w:rsid w:val="B9EF52EA"/>
    <w:rsid w:val="BACF4507"/>
    <w:rsid w:val="BE5573DC"/>
    <w:rsid w:val="BECEDBCF"/>
    <w:rsid w:val="D36B3C1B"/>
    <w:rsid w:val="D5F7A135"/>
    <w:rsid w:val="DBFFA3F9"/>
    <w:rsid w:val="E7D56EE9"/>
    <w:rsid w:val="EBF3D8C3"/>
    <w:rsid w:val="EC7E8591"/>
    <w:rsid w:val="EEEF1108"/>
    <w:rsid w:val="EF1EA0A3"/>
    <w:rsid w:val="EF3FE7A3"/>
    <w:rsid w:val="EF5F6516"/>
    <w:rsid w:val="EF6F5953"/>
    <w:rsid w:val="F3EEBA84"/>
    <w:rsid w:val="F5DD54AE"/>
    <w:rsid w:val="F6FA3489"/>
    <w:rsid w:val="F77FCBAB"/>
    <w:rsid w:val="FABB7D9E"/>
    <w:rsid w:val="FD6E18A1"/>
    <w:rsid w:val="FDEFE817"/>
    <w:rsid w:val="FEF3A2FE"/>
    <w:rsid w:val="FFE75570"/>
    <w:rsid w:val="FFF3177F"/>
    <w:rsid w:val="FFF97781"/>
    <w:rsid w:val="FFFD7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660" w:lineRule="exact"/>
      <w:ind w:firstLine="200" w:firstLineChars="200"/>
      <w:jc w:val="both"/>
    </w:pPr>
    <w:rPr>
      <w:rFonts w:ascii="仿宋_GB2312" w:eastAsia="仿宋_GB2312" w:hAnsiTheme="minorHAnsi" w:cstheme="minorBidi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jc w:val="center"/>
      <w:outlineLvl w:val="0"/>
    </w:pPr>
    <w:rPr>
      <w:b/>
      <w:sz w:val="36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NormalCharacter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305</Words>
  <Characters>1740</Characters>
  <Lines>14</Lines>
  <Paragraphs>4</Paragraphs>
  <TotalTime>4</TotalTime>
  <ScaleCrop>false</ScaleCrop>
  <LinksUpToDate>false</LinksUpToDate>
  <CharactersWithSpaces>2041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2024-02-27T11:25:00Z</dcterms:created>
  <dc:creator>大头 肖</dc:creator>
  <cp:lastModifiedBy>Administrator</cp:lastModifiedBy>
  <dcterms:modified xsi:type="dcterms:W3CDTF">2024-02-27T09:51:06Z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DFDA04BFC626469DA0403F6DFEF718A3_12</vt:lpwstr>
  </property>
</Properties>
</file>