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9"/>
        <w:keepNext w:val="0"/>
        <w:keepLines w:val="0"/>
        <w:pageBreakBefore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川汇区保障农民工工资支付管理办法</w:t>
      </w:r>
    </w:p>
    <w:p>
      <w:pPr>
        <w:pStyle w:val="19"/>
        <w:keepNext w:val="0"/>
        <w:keepLines w:val="0"/>
        <w:pageBreakBefore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eastAsia="zh-CN"/>
        </w:rPr>
        <w:t>（</w:t>
      </w:r>
      <w:r>
        <w:rPr>
          <w:rFonts w:hint="eastAsia" w:ascii="方正小标宋简体" w:hAnsi="方正小标宋简体" w:eastAsia="方正小标宋简体" w:cs="方正小标宋简体"/>
          <w:color w:val="auto"/>
          <w:sz w:val="44"/>
          <w:szCs w:val="44"/>
          <w:lang w:val="en-US" w:eastAsia="zh-CN"/>
        </w:rPr>
        <w:t>征求意见稿</w:t>
      </w:r>
      <w:r>
        <w:rPr>
          <w:rFonts w:hint="eastAsia" w:ascii="方正小标宋简体" w:hAnsi="方正小标宋简体" w:eastAsia="方正小标宋简体" w:cs="方正小标宋简体"/>
          <w:color w:val="auto"/>
          <w:sz w:val="44"/>
          <w:szCs w:val="44"/>
          <w:lang w:eastAsia="zh-CN"/>
        </w:rPr>
        <w:t>）</w:t>
      </w:r>
    </w:p>
    <w:p>
      <w:pPr>
        <w:keepNext w:val="0"/>
        <w:keepLines w:val="0"/>
        <w:pageBreakBefore w:val="0"/>
        <w:kinsoku/>
        <w:wordWrap/>
        <w:overflowPunct/>
        <w:topLinePunct w:val="0"/>
        <w:autoSpaceDE/>
        <w:autoSpaceDN/>
        <w:bidi w:val="0"/>
        <w:adjustRightInd/>
        <w:snapToGrid/>
        <w:spacing w:line="560" w:lineRule="exact"/>
        <w:textAlignment w:val="auto"/>
        <w:rPr>
          <w:rFonts w:hint="eastAsia"/>
          <w:color w:val="auto"/>
        </w:rPr>
      </w:pPr>
    </w:p>
    <w:p>
      <w:pPr>
        <w:pStyle w:val="19"/>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center"/>
        <w:textAlignment w:val="auto"/>
        <w:rPr>
          <w:b w:val="0"/>
          <w:color w:val="auto"/>
        </w:rPr>
      </w:pPr>
      <w:r>
        <w:rPr>
          <w:rFonts w:hint="eastAsia"/>
          <w:color w:val="auto"/>
          <w:lang w:val="en-US" w:eastAsia="zh-CN"/>
        </w:rPr>
        <w:t xml:space="preserve">第一章  </w:t>
      </w:r>
      <w:r>
        <w:rPr>
          <w:color w:val="auto"/>
        </w:rPr>
        <w:t>总则</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firstLine="616" w:firstLineChars="200"/>
        <w:textAlignment w:val="auto"/>
        <w:rPr>
          <w:b/>
          <w:color w:val="auto"/>
        </w:rPr>
      </w:pPr>
      <w:r>
        <w:rPr>
          <w:rFonts w:hint="eastAsia"/>
          <w:b/>
          <w:bCs/>
          <w:color w:val="auto"/>
          <w:lang w:val="en-US" w:eastAsia="zh-CN"/>
        </w:rPr>
        <w:t>第一条</w:t>
      </w:r>
      <w:r>
        <w:rPr>
          <w:rFonts w:hint="eastAsia"/>
          <w:color w:val="auto"/>
          <w:lang w:val="en-US" w:eastAsia="zh-CN"/>
        </w:rPr>
        <w:t xml:space="preserve">  </w:t>
      </w:r>
      <w:r>
        <w:rPr>
          <w:color w:val="auto"/>
        </w:rPr>
        <w:t>为规范我区农民工工资支付行为，依法根治拖欠农民工工资问题，依据《保障农民工工资支付条例》，结合川汇区实际情况，特制定本办法。</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firstLine="616" w:firstLineChars="200"/>
        <w:textAlignment w:val="auto"/>
        <w:rPr>
          <w:b/>
          <w:color w:val="auto"/>
        </w:rPr>
      </w:pPr>
      <w:r>
        <w:rPr>
          <w:rFonts w:hint="eastAsia"/>
          <w:b/>
          <w:bCs/>
          <w:color w:val="auto"/>
          <w:lang w:val="en-US" w:eastAsia="zh-CN"/>
        </w:rPr>
        <w:t>第二条</w:t>
      </w:r>
      <w:r>
        <w:rPr>
          <w:rFonts w:hint="eastAsia"/>
          <w:color w:val="auto"/>
          <w:lang w:val="en-US" w:eastAsia="zh-CN"/>
        </w:rPr>
        <w:t xml:space="preserve">  </w:t>
      </w:r>
      <w:r>
        <w:rPr>
          <w:color w:val="auto"/>
        </w:rPr>
        <w:t>本行政区域内</w:t>
      </w:r>
      <w:r>
        <w:rPr>
          <w:rFonts w:hint="eastAsia"/>
          <w:color w:val="auto"/>
          <w:lang w:eastAsia="zh-CN"/>
        </w:rPr>
        <w:t>包括</w:t>
      </w:r>
      <w:r>
        <w:rPr>
          <w:color w:val="auto"/>
        </w:rPr>
        <w:t>但不限于住房城乡建设、交通运输、水利、农业等行业建设单位，以及从事建设施工工程的新建、扩建、改造</w:t>
      </w:r>
      <w:r>
        <w:rPr>
          <w:rFonts w:hint="eastAsia"/>
          <w:color w:val="auto"/>
          <w:lang w:eastAsia="zh-CN"/>
        </w:rPr>
        <w:t>等建设项目</w:t>
      </w:r>
      <w:r>
        <w:rPr>
          <w:color w:val="auto"/>
        </w:rPr>
        <w:t>活动的建设单位、施工单位、用人单位等各类市场主体，均需遵守本办法。</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firstLine="616" w:firstLineChars="200"/>
        <w:textAlignment w:val="auto"/>
        <w:rPr>
          <w:b/>
          <w:color w:val="auto"/>
        </w:rPr>
      </w:pPr>
      <w:r>
        <w:rPr>
          <w:rFonts w:hint="eastAsia"/>
          <w:b/>
          <w:bCs/>
          <w:color w:val="auto"/>
          <w:lang w:val="en-US" w:eastAsia="zh-CN"/>
        </w:rPr>
        <w:t xml:space="preserve">第三条 </w:t>
      </w:r>
      <w:r>
        <w:rPr>
          <w:rFonts w:hint="eastAsia"/>
          <w:color w:val="auto"/>
          <w:lang w:val="en-US" w:eastAsia="zh-CN"/>
        </w:rPr>
        <w:t xml:space="preserve"> </w:t>
      </w:r>
      <w:r>
        <w:rPr>
          <w:color w:val="auto"/>
        </w:rPr>
        <w:t>川汇区根治拖欠农民工工资工作领导小组负责协调指导《保障农民工工资支付条例》的贯彻落实，并对各行业部门的执行情况进行考核监督检查。领导小组下设办公室，办公室设在</w:t>
      </w:r>
      <w:r>
        <w:rPr>
          <w:rFonts w:hint="eastAsia"/>
          <w:color w:val="auto"/>
          <w:lang w:val="en-US" w:eastAsia="zh-CN"/>
        </w:rPr>
        <w:t>川汇</w:t>
      </w:r>
      <w:r>
        <w:rPr>
          <w:color w:val="auto"/>
        </w:rPr>
        <w:t>区人力资源和社会保障局，负责各项工作的组织协调、信息收集与报送、政策宣传解读等工作。</w:t>
      </w:r>
    </w:p>
    <w:p>
      <w:pPr>
        <w:pStyle w:val="19"/>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center"/>
        <w:textAlignment w:val="auto"/>
        <w:rPr>
          <w:b w:val="0"/>
          <w:color w:val="auto"/>
        </w:rPr>
      </w:pPr>
      <w:r>
        <w:rPr>
          <w:rFonts w:hint="eastAsia"/>
          <w:color w:val="auto"/>
          <w:lang w:val="en-US" w:eastAsia="zh-CN"/>
        </w:rPr>
        <w:t xml:space="preserve">第二章  </w:t>
      </w:r>
      <w:r>
        <w:rPr>
          <w:color w:val="auto"/>
        </w:rPr>
        <w:t>建设、施工单位、用人单位职责</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rFonts w:hint="eastAsia"/>
          <w:b/>
          <w:bCs/>
          <w:color w:val="auto"/>
          <w:lang w:val="en-US" w:eastAsia="zh-CN"/>
        </w:rPr>
        <w:t>第四条</w:t>
      </w:r>
      <w:r>
        <w:rPr>
          <w:rFonts w:hint="eastAsia"/>
          <w:color w:val="auto"/>
          <w:lang w:val="en-US" w:eastAsia="zh-CN"/>
        </w:rPr>
        <w:t xml:space="preserve">  </w:t>
      </w:r>
      <w:r>
        <w:rPr>
          <w:color w:val="auto"/>
        </w:rPr>
        <w:t>本行政区域内符合本办法第二条所确定范围的项目在开工前，施工总承包单位</w:t>
      </w:r>
      <w:r>
        <w:rPr>
          <w:rFonts w:hint="eastAsia"/>
          <w:color w:val="000000" w:themeColor="text1"/>
          <w:lang w:val="en-US" w:eastAsia="zh-CN"/>
          <w14:textFill>
            <w14:solidFill>
              <w14:schemeClr w14:val="tx1"/>
            </w14:solidFill>
          </w14:textFill>
        </w:rPr>
        <w:t>应当</w:t>
      </w:r>
      <w:r>
        <w:rPr>
          <w:color w:val="000000" w:themeColor="text1"/>
          <w14:textFill>
            <w14:solidFill>
              <w14:schemeClr w14:val="tx1"/>
            </w14:solidFill>
          </w14:textFill>
        </w:rPr>
        <w:t>按照</w:t>
      </w:r>
      <w:r>
        <w:rPr>
          <w:rFonts w:hint="eastAsia"/>
          <w:color w:val="000000" w:themeColor="text1"/>
          <w:lang w:val="en-US" w:eastAsia="zh-CN"/>
          <w14:textFill>
            <w14:solidFill>
              <w14:schemeClr w14:val="tx1"/>
            </w14:solidFill>
          </w14:textFill>
        </w:rPr>
        <w:t>有关</w:t>
      </w:r>
      <w:r>
        <w:rPr>
          <w:color w:val="000000" w:themeColor="text1"/>
          <w14:textFill>
            <w14:solidFill>
              <w14:schemeClr w14:val="tx1"/>
            </w14:solidFill>
          </w14:textFill>
        </w:rPr>
        <w:t>规定</w:t>
      </w:r>
      <w:r>
        <w:rPr>
          <w:rFonts w:hint="eastAsia" w:ascii="仿宋_GB2312" w:hAnsi="仿宋_GB2312" w:eastAsia="仿宋_GB2312" w:cs="仿宋_GB2312"/>
          <w:i w:val="0"/>
          <w:iCs w:val="0"/>
          <w:caps w:val="0"/>
          <w:color w:val="000000" w:themeColor="text1"/>
          <w:spacing w:val="15"/>
          <w:sz w:val="32"/>
          <w:szCs w:val="32"/>
          <w:shd w:val="clear" w:fill="FFFFFF"/>
          <w14:textFill>
            <w14:solidFill>
              <w14:schemeClr w14:val="tx1"/>
            </w14:solidFill>
          </w14:textFill>
        </w:rPr>
        <w:t>存储工资保证金，专项用于支付为所承包工程提供劳动的农民工被拖欠的工资。</w:t>
      </w:r>
      <w:r>
        <w:rPr>
          <w:color w:val="000000" w:themeColor="text1"/>
          <w14:textFill>
            <w14:solidFill>
              <w14:schemeClr w14:val="tx1"/>
            </w14:solidFill>
          </w14:textFill>
        </w:rPr>
        <w:t>工资保证金和工程款支付</w:t>
      </w:r>
      <w:r>
        <w:rPr>
          <w:color w:val="auto"/>
        </w:rPr>
        <w:t>担保金由区人力资源和社会保障部门、行业主管部门、金融监管部门共同负责催缴、发放、补缴、返还等工作。具体流程如下：</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催缴：各部门定期对项目进行检查，发现未足额缴存的，及时下达催缴通知。</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发放：在符合规定的情况下，按照程序及时发放保证金。</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补缴：对于未足额缴存或因情况变化需补缴的单位，责令其限期补缴。</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返还：在项目完工且无拖欠工资情况发生后，经相关部门审核确认，及时返还保证金。</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若出现拖欠农民工工资问题，由审批单位负责牵头处理，承担相应责任。</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rFonts w:hint="eastAsia"/>
          <w:b/>
          <w:bCs/>
          <w:color w:val="auto"/>
          <w:lang w:val="en-US" w:eastAsia="zh-CN"/>
        </w:rPr>
        <w:t>第五条</w:t>
      </w:r>
      <w:r>
        <w:rPr>
          <w:rFonts w:hint="eastAsia"/>
          <w:color w:val="auto"/>
          <w:lang w:val="en-US" w:eastAsia="zh-CN"/>
        </w:rPr>
        <w:t xml:space="preserve">  </w:t>
      </w:r>
      <w:r>
        <w:rPr>
          <w:color w:val="auto"/>
        </w:rPr>
        <w:t>施工总承包单位对分包单位劳动用工和工资发放等情况进行全面、实时监督。建立健全监督机制，定期检查分包单位的用工管理、工资发放记录等情况。分包单位拖欠农民工工资的，由施工总承包单位先行清偿，再依法进行追偿。施工总承包单位在先行清偿后，可通过协商、仲裁或诉讼等合法途径向分包单位追偿。</w:t>
      </w:r>
    </w:p>
    <w:p>
      <w:pPr>
        <w:pStyle w:val="11"/>
        <w:keepNext w:val="0"/>
        <w:keepLines w:val="0"/>
        <w:pageBreakBefore w:val="0"/>
        <w:kinsoku/>
        <w:wordWrap/>
        <w:overflowPunct/>
        <w:topLinePunct w:val="0"/>
        <w:autoSpaceDE/>
        <w:autoSpaceDN/>
        <w:bidi w:val="0"/>
        <w:adjustRightInd/>
        <w:snapToGrid/>
        <w:spacing w:line="560" w:lineRule="exact"/>
        <w:ind w:left="0" w:leftChars="0" w:firstLine="616" w:firstLineChars="200"/>
        <w:textAlignment w:val="auto"/>
        <w:rPr>
          <w:color w:val="auto"/>
        </w:rPr>
      </w:pPr>
      <w:r>
        <w:rPr>
          <w:rFonts w:hint="eastAsia" w:ascii="仿宋_GB2312" w:hAnsi="仿宋_GB2312" w:eastAsia="仿宋_GB2312" w:cs="仿宋_GB2312"/>
          <w:b/>
          <w:color w:val="auto"/>
          <w:spacing w:val="-6"/>
          <w:sz w:val="32"/>
          <w:szCs w:val="32"/>
        </w:rPr>
        <w:t>第</w:t>
      </w:r>
      <w:r>
        <w:rPr>
          <w:rFonts w:hint="eastAsia" w:cs="仿宋_GB2312"/>
          <w:b/>
          <w:color w:val="auto"/>
          <w:spacing w:val="-6"/>
          <w:sz w:val="32"/>
          <w:szCs w:val="32"/>
          <w:lang w:val="en-US" w:eastAsia="zh-CN"/>
        </w:rPr>
        <w:t>六</w:t>
      </w:r>
      <w:r>
        <w:rPr>
          <w:rFonts w:hint="eastAsia" w:ascii="仿宋_GB2312" w:hAnsi="仿宋_GB2312" w:eastAsia="仿宋_GB2312" w:cs="仿宋_GB2312"/>
          <w:b/>
          <w:color w:val="auto"/>
          <w:spacing w:val="-6"/>
          <w:sz w:val="32"/>
          <w:szCs w:val="32"/>
        </w:rPr>
        <w:t>条　</w:t>
      </w:r>
      <w:r>
        <w:rPr>
          <w:color w:val="auto"/>
        </w:rPr>
        <w:t xml:space="preserve">施工总承包单位应当在工程项目开工前 </w:t>
      </w:r>
      <w:r>
        <w:rPr>
          <w:rFonts w:hint="eastAsia"/>
          <w:color w:val="000000" w:themeColor="text1"/>
          <w:lang w:val="en-US" w:eastAsia="zh-CN"/>
          <w14:textFill>
            <w14:solidFill>
              <w14:schemeClr w14:val="tx1"/>
            </w14:solidFill>
          </w14:textFill>
        </w:rPr>
        <w:t>30</w:t>
      </w:r>
      <w:r>
        <w:rPr>
          <w:color w:val="000000" w:themeColor="text1"/>
          <w14:textFill>
            <w14:solidFill>
              <w14:schemeClr w14:val="tx1"/>
            </w14:solidFill>
          </w14:textFill>
        </w:rPr>
        <w:t xml:space="preserve"> </w:t>
      </w:r>
      <w:r>
        <w:rPr>
          <w:color w:val="auto"/>
        </w:rPr>
        <w:t>个工作日内，到工程项目所在地银行开设农民工工资专用账户，专项用于支付该工程建设项目农民工工资。开户时，需向银行提供项目相关资料，确保账户的唯一性和专用性。</w:t>
      </w:r>
    </w:p>
    <w:p>
      <w:pPr>
        <w:keepNext w:val="0"/>
        <w:keepLines w:val="0"/>
        <w:pageBreakBefore w:val="0"/>
        <w:tabs>
          <w:tab w:val="left" w:pos="3607"/>
        </w:tabs>
        <w:kinsoku/>
        <w:wordWrap/>
        <w:overflowPunct/>
        <w:topLinePunct w:val="0"/>
        <w:autoSpaceDE/>
        <w:autoSpaceDN/>
        <w:bidi w:val="0"/>
        <w:adjustRightInd/>
        <w:snapToGrid/>
        <w:spacing w:line="560" w:lineRule="exact"/>
        <w:ind w:firstLine="616" w:firstLineChars="200"/>
        <w:jc w:val="both"/>
        <w:textAlignment w:val="auto"/>
        <w:rPr>
          <w:rFonts w:hint="eastAsia" w:ascii="仿宋_GB2312" w:hAnsi="仿宋_GB2312" w:eastAsia="仿宋_GB2312" w:cs="仿宋_GB2312"/>
          <w:b w:val="0"/>
          <w:bCs w:val="0"/>
          <w:color w:val="auto"/>
          <w:sz w:val="32"/>
          <w:szCs w:val="32"/>
          <w:u w:val="none"/>
        </w:rPr>
      </w:pPr>
      <w:r>
        <w:rPr>
          <w:rFonts w:hint="eastAsia" w:ascii="仿宋_GB2312" w:hAnsi="仿宋_GB2312" w:eastAsia="仿宋_GB2312" w:cs="仿宋_GB2312"/>
          <w:b/>
          <w:color w:val="auto"/>
          <w:spacing w:val="-6"/>
          <w:sz w:val="32"/>
          <w:szCs w:val="32"/>
        </w:rPr>
        <w:t>第</w:t>
      </w:r>
      <w:r>
        <w:rPr>
          <w:rFonts w:hint="eastAsia" w:ascii="仿宋_GB2312" w:hAnsi="仿宋_GB2312" w:eastAsia="仿宋_GB2312" w:cs="仿宋_GB2312"/>
          <w:b/>
          <w:color w:val="auto"/>
          <w:spacing w:val="-6"/>
          <w:sz w:val="32"/>
          <w:szCs w:val="32"/>
          <w:lang w:val="en-US" w:eastAsia="zh-CN"/>
        </w:rPr>
        <w:t>七</w:t>
      </w:r>
      <w:r>
        <w:rPr>
          <w:rFonts w:hint="eastAsia" w:ascii="仿宋_GB2312" w:hAnsi="仿宋_GB2312" w:eastAsia="仿宋_GB2312" w:cs="仿宋_GB2312"/>
          <w:b/>
          <w:color w:val="auto"/>
          <w:spacing w:val="-6"/>
          <w:sz w:val="32"/>
          <w:szCs w:val="32"/>
        </w:rPr>
        <w:t>条　</w:t>
      </w:r>
      <w:r>
        <w:rPr>
          <w:rFonts w:hint="eastAsia" w:ascii="仿宋_GB2312" w:hAnsi="仿宋_GB2312" w:eastAsia="仿宋_GB2312" w:cs="仿宋_GB2312"/>
          <w:b w:val="0"/>
          <w:bCs w:val="0"/>
          <w:color w:val="auto"/>
          <w:sz w:val="32"/>
          <w:szCs w:val="32"/>
          <w:u w:val="none"/>
        </w:rPr>
        <w:t>施工总承包单位或者分包单位应当依法与所招用的农民工订立劳动合同并进行用工实名登记，未与施工总承包单位或者分包单位订立劳动合同</w:t>
      </w:r>
      <w:r>
        <w:rPr>
          <w:rFonts w:hint="eastAsia" w:ascii="仿宋_GB2312" w:hAnsi="仿宋_GB2312" w:eastAsia="仿宋_GB2312" w:cs="仿宋_GB2312"/>
          <w:b w:val="0"/>
          <w:bCs w:val="0"/>
          <w:color w:val="auto"/>
          <w:sz w:val="32"/>
          <w:szCs w:val="32"/>
          <w:u w:val="none"/>
          <w:lang w:eastAsia="zh-CN"/>
        </w:rPr>
        <w:t>，</w:t>
      </w:r>
      <w:r>
        <w:rPr>
          <w:rFonts w:hint="eastAsia" w:ascii="仿宋_GB2312" w:hAnsi="仿宋_GB2312" w:eastAsia="仿宋_GB2312" w:cs="仿宋_GB2312"/>
          <w:b w:val="0"/>
          <w:bCs w:val="0"/>
          <w:color w:val="auto"/>
          <w:sz w:val="32"/>
          <w:szCs w:val="32"/>
          <w:u w:val="none"/>
          <w:lang w:val="en-US" w:eastAsia="zh-CN"/>
        </w:rPr>
        <w:t>未</w:t>
      </w:r>
      <w:r>
        <w:rPr>
          <w:rFonts w:hint="eastAsia" w:ascii="仿宋_GB2312" w:hAnsi="仿宋_GB2312" w:eastAsia="仿宋_GB2312" w:cs="仿宋_GB2312"/>
          <w:b w:val="0"/>
          <w:bCs w:val="0"/>
          <w:color w:val="auto"/>
          <w:sz w:val="32"/>
          <w:szCs w:val="32"/>
          <w:u w:val="none"/>
        </w:rPr>
        <w:t>进行用工实名登记的人员，不得进入项目现场施工。</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rFonts w:hint="eastAsia" w:ascii="仿宋_GB2312" w:hAnsi="仿宋_GB2312" w:eastAsia="仿宋_GB2312" w:cs="仿宋_GB2312"/>
          <w:b/>
          <w:color w:val="auto"/>
          <w:spacing w:val="-6"/>
          <w:sz w:val="32"/>
          <w:szCs w:val="32"/>
        </w:rPr>
        <w:t>第</w:t>
      </w:r>
      <w:r>
        <w:rPr>
          <w:rFonts w:hint="eastAsia" w:cs="仿宋_GB2312"/>
          <w:b/>
          <w:color w:val="auto"/>
          <w:spacing w:val="-6"/>
          <w:sz w:val="32"/>
          <w:szCs w:val="32"/>
          <w:lang w:val="en-US" w:eastAsia="zh-CN"/>
        </w:rPr>
        <w:t>八</w:t>
      </w:r>
      <w:r>
        <w:rPr>
          <w:rFonts w:hint="eastAsia" w:ascii="仿宋_GB2312" w:hAnsi="仿宋_GB2312" w:eastAsia="仿宋_GB2312" w:cs="仿宋_GB2312"/>
          <w:b/>
          <w:color w:val="auto"/>
          <w:spacing w:val="-6"/>
          <w:sz w:val="32"/>
          <w:szCs w:val="32"/>
        </w:rPr>
        <w:t>条　</w:t>
      </w:r>
      <w:r>
        <w:rPr>
          <w:color w:val="auto"/>
        </w:rPr>
        <w:t>建设单位应当在项目开工前 20 个工作日内向区人力资源行政部门提供工程款支付担保。担保方式可以为银行保函、保险</w:t>
      </w:r>
      <w:r>
        <w:rPr>
          <w:rFonts w:hint="eastAsia"/>
          <w:color w:val="auto"/>
          <w:lang w:val="en-US" w:eastAsia="zh-CN"/>
        </w:rPr>
        <w:t>保函</w:t>
      </w:r>
      <w:r>
        <w:rPr>
          <w:color w:val="auto"/>
        </w:rPr>
        <w:t>等。建设单位与施工总承包单位依法订立书面工程施工合同，应当按照保障农民工工资按时足额支付的要求约定人工费用和拨付周期</w:t>
      </w:r>
      <w:r>
        <w:rPr>
          <w:rFonts w:hint="eastAsia"/>
          <w:color w:val="auto"/>
          <w:lang w:eastAsia="zh-CN"/>
        </w:rPr>
        <w:t>。</w:t>
      </w:r>
      <w:r>
        <w:rPr>
          <w:color w:val="auto"/>
        </w:rPr>
        <w:t>人工费用拨付周期不得超过 1 个月。建设单位与施工总承包单位应当将工程施工合同保存备查，保存期限不少于工程竣工验收后</w:t>
      </w:r>
      <w:r>
        <w:rPr>
          <w:color w:val="000000" w:themeColor="text1"/>
          <w14:textFill>
            <w14:solidFill>
              <w14:schemeClr w14:val="tx1"/>
            </w14:solidFill>
          </w14:textFill>
        </w:rPr>
        <w:t xml:space="preserve"> </w:t>
      </w:r>
      <w:r>
        <w:rPr>
          <w:rFonts w:hint="eastAsia"/>
          <w:color w:val="000000" w:themeColor="text1"/>
          <w:lang w:val="en-US" w:eastAsia="zh-CN"/>
          <w14:textFill>
            <w14:solidFill>
              <w14:schemeClr w14:val="tx1"/>
            </w14:solidFill>
          </w14:textFill>
        </w:rPr>
        <w:t>3</w:t>
      </w:r>
      <w:r>
        <w:rPr>
          <w:color w:val="000000" w:themeColor="text1"/>
          <w14:textFill>
            <w14:solidFill>
              <w14:schemeClr w14:val="tx1"/>
            </w14:solidFill>
          </w14:textFill>
        </w:rPr>
        <w:t xml:space="preserve"> 年</w:t>
      </w:r>
      <w:r>
        <w:rPr>
          <w:color w:val="auto"/>
        </w:rPr>
        <w:t>。</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16" w:firstLineChars="0"/>
        <w:textAlignment w:val="auto"/>
        <w:rPr>
          <w:b/>
          <w:color w:val="auto"/>
        </w:rPr>
      </w:pPr>
      <w:r>
        <w:rPr>
          <w:rFonts w:hint="eastAsia" w:ascii="仿宋_GB2312" w:hAnsi="仿宋_GB2312" w:eastAsia="仿宋_GB2312" w:cs="仿宋_GB2312"/>
          <w:b/>
          <w:color w:val="auto"/>
          <w:spacing w:val="-6"/>
          <w:sz w:val="32"/>
          <w:szCs w:val="32"/>
        </w:rPr>
        <w:t>第</w:t>
      </w:r>
      <w:r>
        <w:rPr>
          <w:rFonts w:hint="eastAsia" w:cs="仿宋_GB2312"/>
          <w:b/>
          <w:color w:val="auto"/>
          <w:spacing w:val="-6"/>
          <w:sz w:val="32"/>
          <w:szCs w:val="32"/>
          <w:lang w:val="en-US" w:eastAsia="zh-CN"/>
        </w:rPr>
        <w:t>九</w:t>
      </w:r>
      <w:r>
        <w:rPr>
          <w:rFonts w:hint="eastAsia" w:ascii="仿宋_GB2312" w:hAnsi="仿宋_GB2312" w:eastAsia="仿宋_GB2312" w:cs="仿宋_GB2312"/>
          <w:b/>
          <w:color w:val="auto"/>
          <w:spacing w:val="-6"/>
          <w:sz w:val="32"/>
          <w:szCs w:val="32"/>
        </w:rPr>
        <w:t>条　</w:t>
      </w:r>
      <w:r>
        <w:rPr>
          <w:color w:val="auto"/>
        </w:rPr>
        <w:t>建设单位应按照合同约定及时拨付工程款，并将人工费用及时足额拨付至农民工工资专用账户，加强对施工总承包单位按时足额支付农民工工资的</w:t>
      </w:r>
      <w:r>
        <w:rPr>
          <w:rFonts w:hint="eastAsia"/>
          <w:color w:val="auto"/>
          <w:lang w:val="en-US" w:eastAsia="zh-CN"/>
        </w:rPr>
        <w:t>监</w:t>
      </w:r>
      <w:r>
        <w:rPr>
          <w:rFonts w:hint="eastAsia"/>
          <w:color w:val="000000" w:themeColor="text1"/>
          <w:lang w:val="en-US" w:eastAsia="zh-CN"/>
          <w14:textFill>
            <w14:solidFill>
              <w14:schemeClr w14:val="tx1"/>
            </w14:solidFill>
          </w14:textFill>
        </w:rPr>
        <w:t>督</w:t>
      </w:r>
      <w:r>
        <w:rPr>
          <w:color w:val="auto"/>
        </w:rPr>
        <w:t>。在拨款时，需详细备注农民工工资拨付和工程款情况，明确每笔款项的用途和金额。建设单位应建立拨款台账，记录拨款时间、金额、用途等信息，以备核查。</w:t>
      </w:r>
    </w:p>
    <w:p>
      <w:pPr>
        <w:pStyle w:val="11"/>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i w:val="0"/>
          <w:iCs w:val="0"/>
          <w:caps w:val="0"/>
          <w:color w:val="000000" w:themeColor="text1"/>
          <w:spacing w:val="15"/>
          <w:sz w:val="32"/>
          <w:szCs w:val="32"/>
          <w:shd w:val="clear" w:fill="FFFFFF"/>
          <w14:textFill>
            <w14:solidFill>
              <w14:schemeClr w14:val="tx1"/>
            </w14:solidFill>
          </w14:textFill>
        </w:rPr>
      </w:pPr>
      <w:r>
        <w:rPr>
          <w:rFonts w:hint="eastAsia" w:ascii="仿宋_GB2312" w:hAnsi="仿宋_GB2312" w:eastAsia="仿宋_GB2312" w:cs="仿宋_GB2312"/>
          <w:b/>
          <w:color w:val="auto"/>
          <w:spacing w:val="-6"/>
          <w:sz w:val="32"/>
          <w:szCs w:val="32"/>
        </w:rPr>
        <w:t>第</w:t>
      </w:r>
      <w:r>
        <w:rPr>
          <w:rFonts w:hint="eastAsia" w:cs="仿宋_GB2312"/>
          <w:b/>
          <w:color w:val="auto"/>
          <w:spacing w:val="-6"/>
          <w:sz w:val="32"/>
          <w:szCs w:val="32"/>
          <w:lang w:val="en-US" w:eastAsia="zh-CN"/>
        </w:rPr>
        <w:t>十</w:t>
      </w:r>
      <w:r>
        <w:rPr>
          <w:rFonts w:hint="eastAsia" w:ascii="仿宋_GB2312" w:hAnsi="仿宋_GB2312" w:eastAsia="仿宋_GB2312" w:cs="仿宋_GB2312"/>
          <w:b/>
          <w:color w:val="auto"/>
          <w:spacing w:val="-6"/>
          <w:sz w:val="32"/>
          <w:szCs w:val="32"/>
        </w:rPr>
        <w:t>条　</w:t>
      </w:r>
      <w:r>
        <w:rPr>
          <w:color w:val="auto"/>
        </w:rPr>
        <w:t>工程建设领域</w:t>
      </w:r>
      <w:r>
        <w:rPr>
          <w:rFonts w:hint="eastAsia"/>
          <w:color w:val="000000" w:themeColor="text1"/>
          <w:lang w:val="en-US" w:eastAsia="zh-CN"/>
          <w14:textFill>
            <w14:solidFill>
              <w14:schemeClr w14:val="tx1"/>
            </w14:solidFill>
          </w14:textFill>
        </w:rPr>
        <w:t>推行</w:t>
      </w:r>
      <w:r>
        <w:rPr>
          <w:color w:val="auto"/>
        </w:rPr>
        <w:t>施工总承包单位通过农民工工资专用账户代发农民工工资制度。分包单位应当按月考核农民工工作量并编制工资支付表，经农民工本人签字确认后</w:t>
      </w:r>
      <w:r>
        <w:rPr>
          <w:rFonts w:hint="eastAsia"/>
          <w:color w:val="auto"/>
          <w:lang w:eastAsia="zh-CN"/>
        </w:rPr>
        <w:t>，</w:t>
      </w:r>
      <w:r>
        <w:rPr>
          <w:color w:val="auto"/>
        </w:rPr>
        <w:t>与当月工程进度等情况一并交施工总承包单位。</w:t>
      </w:r>
      <w:r>
        <w:rPr>
          <w:rFonts w:hint="eastAsia" w:ascii="仿宋_GB2312" w:hAnsi="仿宋_GB2312" w:eastAsia="仿宋_GB2312" w:cs="仿宋_GB2312"/>
          <w:i w:val="0"/>
          <w:iCs w:val="0"/>
          <w:caps w:val="0"/>
          <w:color w:val="000000" w:themeColor="text1"/>
          <w:spacing w:val="15"/>
          <w:sz w:val="32"/>
          <w:szCs w:val="32"/>
          <w:shd w:val="clear" w:fill="FFFFFF"/>
          <w14:textFill>
            <w14:solidFill>
              <w14:schemeClr w14:val="tx1"/>
            </w14:solidFill>
          </w14:textFill>
        </w:rPr>
        <w:t>施工总承包单位根据分包单位编制的工资支付表，通过农民工工资专用账户直接将工资支付到农民工本人的银行账户，并向分包单位提供代发工资凭证。</w:t>
      </w:r>
    </w:p>
    <w:p>
      <w:pPr>
        <w:pStyle w:val="11"/>
        <w:keepNext w:val="0"/>
        <w:keepLines w:val="0"/>
        <w:pageBreakBefore w:val="0"/>
        <w:kinsoku/>
        <w:wordWrap/>
        <w:overflowPunct/>
        <w:topLinePunct w:val="0"/>
        <w:autoSpaceDE/>
        <w:autoSpaceDN/>
        <w:bidi w:val="0"/>
        <w:adjustRightInd/>
        <w:snapToGrid/>
        <w:spacing w:line="560" w:lineRule="exact"/>
        <w:textAlignment w:val="auto"/>
        <w:rPr>
          <w:b/>
          <w:color w:val="auto"/>
        </w:rPr>
      </w:pPr>
      <w:r>
        <w:rPr>
          <w:rFonts w:hint="eastAsia" w:ascii="仿宋_GB2312" w:hAnsi="仿宋_GB2312" w:eastAsia="仿宋_GB2312" w:cs="仿宋_GB2312"/>
          <w:b/>
          <w:color w:val="auto"/>
          <w:spacing w:val="-6"/>
          <w:sz w:val="32"/>
          <w:szCs w:val="32"/>
        </w:rPr>
        <w:t>第十</w:t>
      </w:r>
      <w:r>
        <w:rPr>
          <w:rFonts w:hint="eastAsia" w:cs="仿宋_GB2312"/>
          <w:b/>
          <w:color w:val="auto"/>
          <w:spacing w:val="-6"/>
          <w:sz w:val="32"/>
          <w:szCs w:val="32"/>
          <w:lang w:val="en-US" w:eastAsia="zh-CN"/>
        </w:rPr>
        <w:t>一</w:t>
      </w:r>
      <w:r>
        <w:rPr>
          <w:rFonts w:hint="eastAsia" w:ascii="仿宋_GB2312" w:hAnsi="仿宋_GB2312" w:eastAsia="仿宋_GB2312" w:cs="仿宋_GB2312"/>
          <w:b/>
          <w:color w:val="auto"/>
          <w:spacing w:val="-6"/>
          <w:sz w:val="32"/>
          <w:szCs w:val="32"/>
        </w:rPr>
        <w:t>条　</w:t>
      </w:r>
      <w:r>
        <w:rPr>
          <w:color w:val="auto"/>
        </w:rPr>
        <w:t>建设单位与施工总承包单位或者承包单位与分包单位因工程数量、质量、造价等产生争议的，建设单位不得因争议不按照本办法第十条的规定拨付工程款中的人工费用，施工总承包单位也不得因争议不按照规定代发农民工工资。双方应通过协商、调解、仲裁或诉讼等合法途径解决争议，确保农民工工资不受影响。</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firstLine="616" w:firstLineChars="200"/>
        <w:textAlignment w:val="auto"/>
        <w:rPr>
          <w:rFonts w:hint="eastAsia" w:eastAsia="仿宋_GB2312"/>
          <w:b w:val="0"/>
          <w:bCs w:val="0"/>
          <w:color w:val="auto"/>
          <w:u w:val="none"/>
          <w:lang w:val="en-US" w:eastAsia="zh-CN"/>
        </w:rPr>
      </w:pPr>
      <w:r>
        <w:rPr>
          <w:rFonts w:hint="eastAsia" w:ascii="仿宋_GB2312" w:hAnsi="仿宋_GB2312" w:eastAsia="仿宋_GB2312" w:cs="仿宋_GB2312"/>
          <w:b/>
          <w:color w:val="auto"/>
          <w:spacing w:val="-6"/>
          <w:sz w:val="32"/>
          <w:szCs w:val="32"/>
        </w:rPr>
        <w:t>第十</w:t>
      </w:r>
      <w:r>
        <w:rPr>
          <w:rFonts w:hint="eastAsia" w:cs="仿宋_GB2312"/>
          <w:b/>
          <w:color w:val="auto"/>
          <w:spacing w:val="-6"/>
          <w:sz w:val="32"/>
          <w:szCs w:val="32"/>
          <w:lang w:val="en-US" w:eastAsia="zh-CN"/>
        </w:rPr>
        <w:t>二</w:t>
      </w:r>
      <w:r>
        <w:rPr>
          <w:rFonts w:hint="eastAsia" w:ascii="仿宋_GB2312" w:hAnsi="仿宋_GB2312" w:eastAsia="仿宋_GB2312" w:cs="仿宋_GB2312"/>
          <w:b/>
          <w:color w:val="auto"/>
          <w:spacing w:val="-6"/>
          <w:sz w:val="32"/>
          <w:szCs w:val="32"/>
        </w:rPr>
        <w:t>条　</w:t>
      </w:r>
      <w:r>
        <w:rPr>
          <w:rFonts w:hint="eastAsia"/>
          <w:b w:val="0"/>
          <w:bCs w:val="0"/>
          <w:color w:val="auto"/>
          <w:u w:val="none"/>
          <w:lang w:val="en-US" w:eastAsia="zh-CN"/>
        </w:rPr>
        <w:t>建设单位或者施工总承包单位将建设工程发包或者分包给个人或者不具备合法经营资格的单位，导致拖欠农民工工资的，由建设单位或者</w:t>
      </w:r>
      <w:r>
        <w:rPr>
          <w:rFonts w:hint="eastAsia"/>
          <w:color w:val="auto"/>
          <w:lang w:val="en-US" w:eastAsia="zh-CN"/>
        </w:rPr>
        <w:t>清偿。</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16" w:firstLineChars="0"/>
        <w:textAlignment w:val="auto"/>
        <w:rPr>
          <w:b/>
          <w:bCs/>
          <w:color w:val="auto"/>
          <w:u w:val="single"/>
        </w:rPr>
      </w:pPr>
      <w:r>
        <w:rPr>
          <w:b w:val="0"/>
          <w:bCs w:val="0"/>
          <w:color w:val="auto"/>
          <w:u w:val="none"/>
        </w:rPr>
        <w:t>施工单位允许其他单位和个人以施工单位的名义对外承揽建设工程，导致拖欠农民工工资的，由施工单位清偿。</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rFonts w:hint="eastAsia" w:ascii="仿宋_GB2312" w:hAnsi="仿宋_GB2312" w:eastAsia="仿宋_GB2312" w:cs="仿宋_GB2312"/>
          <w:b/>
          <w:color w:val="auto"/>
          <w:spacing w:val="-6"/>
          <w:sz w:val="32"/>
          <w:szCs w:val="32"/>
        </w:rPr>
        <w:t>第十</w:t>
      </w:r>
      <w:r>
        <w:rPr>
          <w:rFonts w:hint="eastAsia" w:cs="仿宋_GB2312"/>
          <w:b/>
          <w:color w:val="auto"/>
          <w:spacing w:val="-6"/>
          <w:sz w:val="32"/>
          <w:szCs w:val="32"/>
          <w:lang w:val="en-US" w:eastAsia="zh-CN"/>
        </w:rPr>
        <w:t>三</w:t>
      </w:r>
      <w:r>
        <w:rPr>
          <w:rFonts w:hint="eastAsia" w:ascii="仿宋_GB2312" w:hAnsi="仿宋_GB2312" w:eastAsia="仿宋_GB2312" w:cs="仿宋_GB2312"/>
          <w:b/>
          <w:color w:val="auto"/>
          <w:spacing w:val="-6"/>
          <w:sz w:val="32"/>
          <w:szCs w:val="32"/>
        </w:rPr>
        <w:t>条　</w:t>
      </w:r>
      <w:r>
        <w:rPr>
          <w:color w:val="auto"/>
        </w:rPr>
        <w:t>建设、施工单位、用人单位及个人有拖欠农民工工资不良记录，拒不支付劳动报酬的，编造虚假事实或者采取非法手段讨要农民工工资，或者以拖欠农民工工资为名讨要工程款的，川汇区政府及相关部门有权按照法律法规在市场准入（新建项目）、招标投标、税收优惠、政府采购、产业发展、融资贷款、项目补贴等方面实行“一票否决”制。同时，将其列入失信名单，通过政府网站、媒体等渠道向社会公布。</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16" w:firstLineChars="0"/>
        <w:textAlignment w:val="auto"/>
        <w:rPr>
          <w:b/>
          <w:color w:val="auto"/>
        </w:rPr>
      </w:pPr>
      <w:r>
        <w:rPr>
          <w:rFonts w:hint="eastAsia" w:ascii="仿宋_GB2312" w:hAnsi="仿宋_GB2312" w:eastAsia="仿宋_GB2312" w:cs="仿宋_GB2312"/>
          <w:b/>
          <w:color w:val="auto"/>
          <w:spacing w:val="-6"/>
          <w:sz w:val="32"/>
          <w:szCs w:val="32"/>
        </w:rPr>
        <w:t>第十</w:t>
      </w:r>
      <w:r>
        <w:rPr>
          <w:rFonts w:hint="eastAsia" w:cs="仿宋_GB2312"/>
          <w:b/>
          <w:color w:val="auto"/>
          <w:spacing w:val="-6"/>
          <w:sz w:val="32"/>
          <w:szCs w:val="32"/>
          <w:lang w:val="en-US" w:eastAsia="zh-CN"/>
        </w:rPr>
        <w:t>四条</w:t>
      </w:r>
      <w:r>
        <w:rPr>
          <w:rFonts w:hint="eastAsia" w:ascii="仿宋_GB2312" w:hAnsi="仿宋_GB2312" w:eastAsia="仿宋_GB2312" w:cs="仿宋_GB2312"/>
          <w:b/>
          <w:color w:val="auto"/>
          <w:spacing w:val="-6"/>
          <w:sz w:val="32"/>
          <w:szCs w:val="32"/>
        </w:rPr>
        <w:t>　</w:t>
      </w:r>
      <w:r>
        <w:rPr>
          <w:color w:val="auto"/>
        </w:rPr>
        <w:t>施工总承包单位应当在施工现场醒目位置设立维权信息告示牌，明示下列事项：</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建设单位、施工总承包单位及所在项目部、分包单位、相关行业工程建设主管部门、劳资专管员等基本信息；</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当地最低工资标准、工资支付日期等基本信息；</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相关行业工程建设主管部门和劳动保障监察投诉举报电话、劳动争议调解仲裁申请渠道、法律援助申请渠道、公共法律服务热线等信息。</w:t>
      </w:r>
    </w:p>
    <w:p>
      <w:pPr>
        <w:pStyle w:val="19"/>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center"/>
        <w:textAlignment w:val="auto"/>
        <w:rPr>
          <w:b w:val="0"/>
          <w:color w:val="auto"/>
        </w:rPr>
      </w:pPr>
      <w:r>
        <w:rPr>
          <w:rFonts w:hint="eastAsia"/>
          <w:color w:val="auto"/>
          <w:lang w:val="en-US" w:eastAsia="zh-CN"/>
        </w:rPr>
        <w:t xml:space="preserve">第三章  </w:t>
      </w:r>
      <w:r>
        <w:rPr>
          <w:color w:val="auto"/>
        </w:rPr>
        <w:t>部门监管职责</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16" w:firstLineChars="0"/>
        <w:textAlignment w:val="auto"/>
        <w:rPr>
          <w:b/>
          <w:color w:val="auto"/>
        </w:rPr>
      </w:pPr>
      <w:r>
        <w:rPr>
          <w:rFonts w:hint="eastAsia" w:ascii="仿宋_GB2312" w:hAnsi="仿宋_GB2312" w:eastAsia="仿宋_GB2312" w:cs="仿宋_GB2312"/>
          <w:b/>
          <w:color w:val="auto"/>
          <w:spacing w:val="-6"/>
          <w:sz w:val="32"/>
          <w:szCs w:val="32"/>
        </w:rPr>
        <w:t>第十</w:t>
      </w:r>
      <w:r>
        <w:rPr>
          <w:rFonts w:hint="eastAsia" w:cs="仿宋_GB2312"/>
          <w:b/>
          <w:color w:val="auto"/>
          <w:spacing w:val="-6"/>
          <w:sz w:val="32"/>
          <w:szCs w:val="32"/>
          <w:lang w:val="en-US" w:eastAsia="zh-CN"/>
        </w:rPr>
        <w:t>五</w:t>
      </w:r>
      <w:r>
        <w:rPr>
          <w:rFonts w:hint="eastAsia" w:ascii="仿宋_GB2312" w:hAnsi="仿宋_GB2312" w:eastAsia="仿宋_GB2312" w:cs="仿宋_GB2312"/>
          <w:b/>
          <w:color w:val="auto"/>
          <w:spacing w:val="-6"/>
          <w:sz w:val="32"/>
          <w:szCs w:val="32"/>
        </w:rPr>
        <w:t>条　</w:t>
      </w:r>
      <w:r>
        <w:rPr>
          <w:color w:val="auto"/>
        </w:rPr>
        <w:t>区人力资源社会保障部门、行业主管部门和其他有关部门应当公开举报投诉电话、网站等渠道，安排专人负责接听和处理举报投诉信息。对于举报、投诉的处理实行首问负责制。</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16" w:firstLineChars="0"/>
        <w:textAlignment w:val="auto"/>
        <w:rPr>
          <w:b/>
          <w:bCs w:val="0"/>
          <w:color w:val="auto"/>
        </w:rPr>
      </w:pPr>
      <w:r>
        <w:rPr>
          <w:rFonts w:hint="eastAsia" w:ascii="仿宋_GB2312" w:hAnsi="仿宋_GB2312" w:eastAsia="仿宋_GB2312" w:cs="仿宋_GB2312"/>
          <w:b/>
          <w:bCs w:val="0"/>
          <w:color w:val="auto"/>
          <w:spacing w:val="-6"/>
          <w:sz w:val="32"/>
          <w:szCs w:val="32"/>
        </w:rPr>
        <w:t>第十</w:t>
      </w:r>
      <w:r>
        <w:rPr>
          <w:rFonts w:hint="eastAsia" w:cs="仿宋_GB2312"/>
          <w:b/>
          <w:bCs w:val="0"/>
          <w:color w:val="auto"/>
          <w:spacing w:val="-6"/>
          <w:sz w:val="32"/>
          <w:szCs w:val="32"/>
          <w:lang w:val="en-US" w:eastAsia="zh-CN"/>
        </w:rPr>
        <w:t>六</w:t>
      </w:r>
      <w:r>
        <w:rPr>
          <w:rFonts w:hint="eastAsia" w:ascii="仿宋_GB2312" w:hAnsi="仿宋_GB2312" w:eastAsia="仿宋_GB2312" w:cs="仿宋_GB2312"/>
          <w:b/>
          <w:bCs w:val="0"/>
          <w:color w:val="auto"/>
          <w:spacing w:val="-6"/>
          <w:sz w:val="32"/>
          <w:szCs w:val="32"/>
        </w:rPr>
        <w:t>条　</w:t>
      </w:r>
      <w:r>
        <w:rPr>
          <w:b w:val="0"/>
          <w:bCs/>
          <w:color w:val="auto"/>
        </w:rPr>
        <w:t>住房城乡建设、交通运输、水利、农业等行业建设主管部门负责对本领域建设工程项目农民工工资支付进行动态监管，建立并严格落实企业用工实名制、工资专户、工资缴存、工资代发、保证金缴纳等制度。定期对项目进行检查，每季度至少开展一次全面检查，每月进行一次抽查。建设工程项目有下列情形之一的，由行业主管部门责令限期改正。</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施工总承包单位未按规定开设或者使用农民工工资专用账户；</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施工总承包单位未按规定存储工资保证金或者未提供金融机构保函；</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施工总承包单位、分包单位未实行劳动用工实名制管理；</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分包单位未按月考核农民工工作量、编制工资支付表并经农民工本人签字确认；</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施工总承包单位未对分包单位劳动用工实施监督管理；</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分包单位未配合施工总承包单位对其劳动用工进行监督管理；</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施工总承包单位未实行施工现场维权信息公示制度；</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建设单位未依法提供工程款支付担保；</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建设单位未按约定及时足额向农民工工资专用账户拨付工程款中的人工费用；</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color w:val="auto"/>
        </w:rPr>
        <w:t>建设单位或者施工总承包单位拒不提供或者无法提供工程施工合同、农民工工资专用账户有关资料。</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16" w:firstLineChars="0"/>
        <w:textAlignment w:val="auto"/>
        <w:rPr>
          <w:b/>
          <w:color w:val="auto"/>
        </w:rPr>
      </w:pPr>
      <w:r>
        <w:rPr>
          <w:rFonts w:hint="eastAsia" w:ascii="仿宋_GB2312" w:hAnsi="仿宋_GB2312" w:eastAsia="仿宋_GB2312" w:cs="仿宋_GB2312"/>
          <w:b/>
          <w:color w:val="auto"/>
          <w:spacing w:val="-6"/>
          <w:sz w:val="32"/>
          <w:szCs w:val="32"/>
        </w:rPr>
        <w:t>第十</w:t>
      </w:r>
      <w:r>
        <w:rPr>
          <w:rFonts w:hint="eastAsia" w:cs="仿宋_GB2312"/>
          <w:b/>
          <w:color w:val="auto"/>
          <w:spacing w:val="-6"/>
          <w:sz w:val="32"/>
          <w:szCs w:val="32"/>
          <w:lang w:val="en-US" w:eastAsia="zh-CN"/>
        </w:rPr>
        <w:t>七</w:t>
      </w:r>
      <w:r>
        <w:rPr>
          <w:rFonts w:hint="eastAsia" w:ascii="仿宋_GB2312" w:hAnsi="仿宋_GB2312" w:eastAsia="仿宋_GB2312" w:cs="仿宋_GB2312"/>
          <w:b/>
          <w:color w:val="auto"/>
          <w:spacing w:val="-6"/>
          <w:sz w:val="32"/>
          <w:szCs w:val="32"/>
        </w:rPr>
        <w:t>条　</w:t>
      </w:r>
      <w:r>
        <w:rPr>
          <w:color w:val="auto"/>
        </w:rPr>
        <w:t>住房城乡建设、交通运输、水利、农业等行业建设主管部门依法规范和监管本领域建设市场秩序，依法查处企业转包、违法分包、挂靠承包等行为，处理因转包、违法分包、挂靠、工程款纠纷等导致的拖欠农民工工资案件。</w:t>
      </w:r>
    </w:p>
    <w:p>
      <w:pPr>
        <w:pStyle w:val="11"/>
        <w:keepNext w:val="0"/>
        <w:keepLines w:val="0"/>
        <w:pageBreakBefore w:val="0"/>
        <w:kinsoku/>
        <w:wordWrap/>
        <w:overflowPunct/>
        <w:topLinePunct w:val="0"/>
        <w:autoSpaceDE/>
        <w:autoSpaceDN/>
        <w:bidi w:val="0"/>
        <w:adjustRightInd/>
        <w:snapToGrid/>
        <w:spacing w:line="560" w:lineRule="exact"/>
        <w:textAlignment w:val="auto"/>
        <w:rPr>
          <w:b/>
          <w:color w:val="auto"/>
        </w:rPr>
      </w:pPr>
      <w:r>
        <w:rPr>
          <w:rFonts w:hint="eastAsia"/>
          <w:b/>
          <w:bCs/>
          <w:color w:val="auto"/>
          <w:lang w:val="en-US" w:eastAsia="zh-CN"/>
        </w:rPr>
        <w:t xml:space="preserve">第十八条 </w:t>
      </w:r>
      <w:r>
        <w:rPr>
          <w:rFonts w:hint="eastAsia"/>
          <w:color w:val="auto"/>
          <w:lang w:val="en-US" w:eastAsia="zh-CN"/>
        </w:rPr>
        <w:t xml:space="preserve"> </w:t>
      </w:r>
      <w:r>
        <w:rPr>
          <w:color w:val="auto"/>
        </w:rPr>
        <w:t>区发改委负责政府投资项目的审批管理，依法审查政府投资项目的资金来源和筹措方式，按规定及时安排政府投资资金，加强社会信用体系建设，组织对拖欠农民工工资失信联合惩戒对象依法依规予以限制和惩戒。在项目审批过程中，严格审查资金落实情况，确保资金来源可靠。</w:t>
      </w:r>
    </w:p>
    <w:p>
      <w:pPr>
        <w:pStyle w:val="11"/>
        <w:keepNext w:val="0"/>
        <w:keepLines w:val="0"/>
        <w:pageBreakBefore w:val="0"/>
        <w:kinsoku/>
        <w:wordWrap/>
        <w:overflowPunct/>
        <w:topLinePunct w:val="0"/>
        <w:autoSpaceDE/>
        <w:autoSpaceDN/>
        <w:bidi w:val="0"/>
        <w:adjustRightInd/>
        <w:snapToGrid/>
        <w:spacing w:line="560" w:lineRule="exact"/>
        <w:textAlignment w:val="auto"/>
        <w:rPr>
          <w:rFonts w:hint="default" w:eastAsia="仿宋_GB2312"/>
          <w:b/>
          <w:color w:val="auto"/>
          <w:lang w:val="en-US" w:eastAsia="zh-CN"/>
        </w:rPr>
      </w:pPr>
      <w:r>
        <w:rPr>
          <w:rFonts w:hint="eastAsia" w:ascii="仿宋_GB2312" w:hAnsi="仿宋_GB2312" w:eastAsia="仿宋_GB2312" w:cs="仿宋_GB2312"/>
          <w:b/>
          <w:color w:val="auto"/>
          <w:spacing w:val="-6"/>
          <w:sz w:val="32"/>
          <w:szCs w:val="32"/>
        </w:rPr>
        <w:t>第</w:t>
      </w:r>
      <w:r>
        <w:rPr>
          <w:rFonts w:hint="eastAsia" w:cs="仿宋_GB2312"/>
          <w:b/>
          <w:color w:val="auto"/>
          <w:spacing w:val="-6"/>
          <w:sz w:val="32"/>
          <w:szCs w:val="32"/>
          <w:lang w:val="en-US" w:eastAsia="zh-CN"/>
        </w:rPr>
        <w:t>十九</w:t>
      </w:r>
      <w:r>
        <w:rPr>
          <w:rFonts w:hint="eastAsia" w:ascii="仿宋_GB2312" w:hAnsi="仿宋_GB2312" w:eastAsia="仿宋_GB2312" w:cs="仿宋_GB2312"/>
          <w:b/>
          <w:color w:val="auto"/>
          <w:spacing w:val="-6"/>
          <w:sz w:val="32"/>
          <w:szCs w:val="32"/>
        </w:rPr>
        <w:t>条　</w:t>
      </w:r>
      <w:r>
        <w:rPr>
          <w:color w:val="auto"/>
        </w:rPr>
        <w:t>区财政局负责依法对政府投资项目建设单位按照工程施工合同约定向农民工工资专用账户拨付资金情况进行监督。负责保障根治拖欠农民工工资各项预算工作经费，确保工作的顺利开展。建立资金监管台账，对资金拨付情况进行跟踪检查</w:t>
      </w:r>
      <w:r>
        <w:rPr>
          <w:rFonts w:hint="eastAsia"/>
          <w:color w:val="auto"/>
          <w:lang w:eastAsia="zh-CN"/>
        </w:rPr>
        <w:t>，</w:t>
      </w:r>
      <w:r>
        <w:rPr>
          <w:rFonts w:hint="eastAsia"/>
          <w:color w:val="auto"/>
          <w:lang w:val="en-US" w:eastAsia="zh-CN"/>
        </w:rPr>
        <w:t>并向行业主管部门及人社部门进行资金拨付情况通报。</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16" w:firstLineChars="0"/>
        <w:textAlignment w:val="auto"/>
        <w:rPr>
          <w:b/>
          <w:color w:val="auto"/>
        </w:rPr>
      </w:pPr>
      <w:r>
        <w:rPr>
          <w:rFonts w:hint="eastAsia" w:ascii="仿宋_GB2312" w:hAnsi="仿宋_GB2312" w:eastAsia="仿宋_GB2312" w:cs="仿宋_GB2312"/>
          <w:b/>
          <w:color w:val="auto"/>
          <w:spacing w:val="-6"/>
          <w:sz w:val="32"/>
          <w:szCs w:val="32"/>
        </w:rPr>
        <w:t>第二十条　</w:t>
      </w:r>
      <w:r>
        <w:rPr>
          <w:color w:val="auto"/>
        </w:rPr>
        <w:t>公安</w:t>
      </w:r>
      <w:r>
        <w:rPr>
          <w:rFonts w:hint="eastAsia"/>
          <w:color w:val="auto"/>
          <w:lang w:val="en-US" w:eastAsia="zh-CN"/>
        </w:rPr>
        <w:t>机关</w:t>
      </w:r>
      <w:r>
        <w:rPr>
          <w:color w:val="auto"/>
        </w:rPr>
        <w:t>负责及时受理、侦办涉嫌拒不支付劳动报酬刑事案件，协助查询拖欠农民工工资当事人相关信息，依法处置因农民工工资拖欠引发的社会治安案件。建立快速反应机制，接到报警后及时出警，维护社会稳定。</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rFonts w:hint="eastAsia" w:ascii="仿宋_GB2312" w:hAnsi="仿宋_GB2312" w:eastAsia="仿宋_GB2312" w:cs="仿宋_GB2312"/>
          <w:b/>
          <w:color w:val="auto"/>
          <w:spacing w:val="-6"/>
          <w:sz w:val="32"/>
          <w:szCs w:val="32"/>
        </w:rPr>
        <w:t>第二十</w:t>
      </w:r>
      <w:r>
        <w:rPr>
          <w:rFonts w:hint="eastAsia" w:cs="仿宋_GB2312"/>
          <w:b/>
          <w:color w:val="auto"/>
          <w:spacing w:val="-6"/>
          <w:sz w:val="32"/>
          <w:szCs w:val="32"/>
          <w:lang w:val="en-US" w:eastAsia="zh-CN"/>
        </w:rPr>
        <w:t>一</w:t>
      </w:r>
      <w:r>
        <w:rPr>
          <w:rFonts w:hint="eastAsia" w:ascii="仿宋_GB2312" w:hAnsi="仿宋_GB2312" w:eastAsia="仿宋_GB2312" w:cs="仿宋_GB2312"/>
          <w:b/>
          <w:color w:val="auto"/>
          <w:spacing w:val="-6"/>
          <w:sz w:val="32"/>
          <w:szCs w:val="32"/>
        </w:rPr>
        <w:t>条　</w:t>
      </w:r>
      <w:r>
        <w:rPr>
          <w:color w:val="auto"/>
        </w:rPr>
        <w:t>司法局和法律援助中心应当将农民工列为法律援助的重点对象，并依法为请求支付工资的农民工提供便捷的法律援助。设立专门的法律援助窗口，简化申请程序，为农民工提供及时有效的法律援助。</w:t>
      </w:r>
    </w:p>
    <w:p>
      <w:pPr>
        <w:pStyle w:val="11"/>
        <w:keepNext w:val="0"/>
        <w:keepLines w:val="0"/>
        <w:pageBreakBefore w:val="0"/>
        <w:kinsoku/>
        <w:wordWrap/>
        <w:overflowPunct/>
        <w:topLinePunct w:val="0"/>
        <w:autoSpaceDE/>
        <w:autoSpaceDN/>
        <w:bidi w:val="0"/>
        <w:adjustRightInd/>
        <w:snapToGrid/>
        <w:spacing w:line="560" w:lineRule="exact"/>
        <w:textAlignment w:val="auto"/>
        <w:rPr>
          <w:color w:val="auto"/>
        </w:rPr>
      </w:pPr>
      <w:r>
        <w:rPr>
          <w:rFonts w:hint="eastAsia" w:ascii="仿宋_GB2312" w:hAnsi="仿宋_GB2312" w:eastAsia="仿宋_GB2312" w:cs="仿宋_GB2312"/>
          <w:b/>
          <w:color w:val="auto"/>
          <w:spacing w:val="-6"/>
          <w:sz w:val="32"/>
          <w:szCs w:val="32"/>
        </w:rPr>
        <w:t>第二十</w:t>
      </w:r>
      <w:r>
        <w:rPr>
          <w:rFonts w:hint="eastAsia" w:cs="仿宋_GB2312"/>
          <w:b/>
          <w:color w:val="auto"/>
          <w:spacing w:val="-6"/>
          <w:sz w:val="32"/>
          <w:szCs w:val="32"/>
          <w:lang w:val="en-US" w:eastAsia="zh-CN"/>
        </w:rPr>
        <w:t>二</w:t>
      </w:r>
      <w:r>
        <w:rPr>
          <w:rFonts w:hint="eastAsia" w:ascii="仿宋_GB2312" w:hAnsi="仿宋_GB2312" w:eastAsia="仿宋_GB2312" w:cs="仿宋_GB2312"/>
          <w:b/>
          <w:color w:val="auto"/>
          <w:spacing w:val="-6"/>
          <w:sz w:val="32"/>
          <w:szCs w:val="32"/>
        </w:rPr>
        <w:t>条　</w:t>
      </w:r>
      <w:r>
        <w:rPr>
          <w:rFonts w:hint="eastAsia" w:cs="仿宋_GB2312"/>
          <w:b w:val="0"/>
          <w:bCs/>
          <w:color w:val="000000" w:themeColor="text1"/>
          <w:spacing w:val="-6"/>
          <w:sz w:val="32"/>
          <w:szCs w:val="32"/>
          <w:lang w:val="en-US" w:eastAsia="zh-CN"/>
          <w14:textFill>
            <w14:solidFill>
              <w14:schemeClr w14:val="tx1"/>
            </w14:solidFill>
          </w14:textFill>
        </w:rPr>
        <w:t>除法律另有规定外，</w:t>
      </w:r>
      <w:r>
        <w:rPr>
          <w:color w:val="auto"/>
        </w:rPr>
        <w:t>人民法院对农民工工资专用账户资金和工资保证金，不得因支付为本项目提供劳动的农民工工资之外的原因进行查封、冻结或者划拨。因拒不履行区人力资源和社会保障</w:t>
      </w:r>
      <w:r>
        <w:rPr>
          <w:rFonts w:hint="eastAsia"/>
          <w:color w:val="000000" w:themeColor="text1"/>
          <w:lang w:val="en-US" w:eastAsia="zh-CN"/>
          <w14:textFill>
            <w14:solidFill>
              <w14:schemeClr w14:val="tx1"/>
            </w14:solidFill>
          </w14:textFill>
        </w:rPr>
        <w:t>综合行政执法</w:t>
      </w:r>
      <w:r>
        <w:rPr>
          <w:rFonts w:hint="eastAsia"/>
          <w:color w:val="auto"/>
          <w:lang w:val="en-US" w:eastAsia="zh-CN"/>
        </w:rPr>
        <w:t>部门</w:t>
      </w:r>
      <w:r>
        <w:rPr>
          <w:color w:val="auto"/>
        </w:rPr>
        <w:t>下达的支付农民工工资法律文书，且申请人民法院强制执行的案件，人民法院</w:t>
      </w:r>
      <w:r>
        <w:rPr>
          <w:rFonts w:hint="eastAsia"/>
          <w:color w:val="000000" w:themeColor="text1"/>
          <w:lang w:val="en-US" w:eastAsia="zh-CN"/>
          <w14:textFill>
            <w14:solidFill>
              <w14:schemeClr w14:val="tx1"/>
            </w14:solidFill>
          </w14:textFill>
        </w:rPr>
        <w:t>可以</w:t>
      </w:r>
      <w:r>
        <w:rPr>
          <w:color w:val="auto"/>
        </w:rPr>
        <w:t>采取限制高消费措施或依法纳入失信被执行人名单。建立绿色通道，加快案件审理和执行进度。</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16" w:firstLineChars="0"/>
        <w:textAlignment w:val="auto"/>
        <w:rPr>
          <w:b/>
          <w:color w:val="auto"/>
        </w:rPr>
      </w:pPr>
      <w:r>
        <w:rPr>
          <w:rFonts w:hint="eastAsia" w:ascii="仿宋_GB2312" w:hAnsi="仿宋_GB2312" w:eastAsia="仿宋_GB2312" w:cs="仿宋_GB2312"/>
          <w:b/>
          <w:color w:val="auto"/>
          <w:spacing w:val="-6"/>
          <w:sz w:val="32"/>
          <w:szCs w:val="32"/>
        </w:rPr>
        <w:t>第二十</w:t>
      </w:r>
      <w:r>
        <w:rPr>
          <w:rFonts w:hint="eastAsia" w:cs="仿宋_GB2312"/>
          <w:b/>
          <w:color w:val="auto"/>
          <w:spacing w:val="-6"/>
          <w:sz w:val="32"/>
          <w:szCs w:val="32"/>
          <w:lang w:val="en-US" w:eastAsia="zh-CN"/>
        </w:rPr>
        <w:t>三</w:t>
      </w:r>
      <w:r>
        <w:rPr>
          <w:rFonts w:hint="eastAsia" w:ascii="仿宋_GB2312" w:hAnsi="仿宋_GB2312" w:eastAsia="仿宋_GB2312" w:cs="仿宋_GB2312"/>
          <w:b/>
          <w:color w:val="auto"/>
          <w:spacing w:val="-6"/>
          <w:sz w:val="32"/>
          <w:szCs w:val="32"/>
        </w:rPr>
        <w:t>条　</w:t>
      </w:r>
      <w:r>
        <w:rPr>
          <w:color w:val="auto"/>
        </w:rPr>
        <w:t>人民检察院负责</w:t>
      </w:r>
      <w:r>
        <w:rPr>
          <w:rFonts w:hint="eastAsia"/>
          <w:color w:val="auto"/>
          <w:lang w:eastAsia="zh-CN"/>
        </w:rPr>
        <w:t>对本区域</w:t>
      </w:r>
      <w:r>
        <w:rPr>
          <w:color w:val="auto"/>
        </w:rPr>
        <w:t>涉嫌拒不支付劳动报酬犯罪案件</w:t>
      </w:r>
      <w:r>
        <w:rPr>
          <w:rFonts w:hint="eastAsia"/>
          <w:color w:val="auto"/>
          <w:lang w:eastAsia="zh-CN"/>
        </w:rPr>
        <w:t>依法进行</w:t>
      </w:r>
      <w:r>
        <w:rPr>
          <w:color w:val="auto"/>
        </w:rPr>
        <w:t>监督并提起公诉。对支持起诉的案件开展审判活动和执行活动监督，确保所拖欠的工资准确、及时执行到位。加强与相关部门的沟通协作，形成打击犯罪的合力。</w:t>
      </w:r>
    </w:p>
    <w:p>
      <w:pPr>
        <w:pStyle w:val="11"/>
        <w:keepNext w:val="0"/>
        <w:keepLines w:val="0"/>
        <w:pageBreakBefore w:val="0"/>
        <w:kinsoku/>
        <w:wordWrap/>
        <w:overflowPunct/>
        <w:topLinePunct w:val="0"/>
        <w:autoSpaceDE/>
        <w:autoSpaceDN/>
        <w:bidi w:val="0"/>
        <w:adjustRightInd/>
        <w:snapToGrid/>
        <w:spacing w:line="560" w:lineRule="exact"/>
        <w:textAlignment w:val="auto"/>
        <w:rPr>
          <w:b/>
          <w:color w:val="auto"/>
        </w:rPr>
      </w:pPr>
      <w:r>
        <w:rPr>
          <w:rFonts w:hint="eastAsia" w:ascii="仿宋_GB2312" w:hAnsi="仿宋_GB2312" w:eastAsia="仿宋_GB2312" w:cs="仿宋_GB2312"/>
          <w:b/>
          <w:color w:val="auto"/>
          <w:spacing w:val="-6"/>
          <w:sz w:val="32"/>
          <w:szCs w:val="32"/>
        </w:rPr>
        <w:t>第二十</w:t>
      </w:r>
      <w:r>
        <w:rPr>
          <w:rFonts w:hint="eastAsia" w:cs="仿宋_GB2312"/>
          <w:b/>
          <w:color w:val="auto"/>
          <w:spacing w:val="-6"/>
          <w:sz w:val="32"/>
          <w:szCs w:val="32"/>
          <w:lang w:val="en-US" w:eastAsia="zh-CN"/>
        </w:rPr>
        <w:t>四</w:t>
      </w:r>
      <w:r>
        <w:rPr>
          <w:rFonts w:hint="eastAsia" w:ascii="仿宋_GB2312" w:hAnsi="仿宋_GB2312" w:eastAsia="仿宋_GB2312" w:cs="仿宋_GB2312"/>
          <w:b/>
          <w:color w:val="auto"/>
          <w:spacing w:val="-6"/>
          <w:sz w:val="32"/>
          <w:szCs w:val="32"/>
        </w:rPr>
        <w:t>条　</w:t>
      </w:r>
      <w:r>
        <w:rPr>
          <w:color w:val="auto"/>
        </w:rPr>
        <w:t>金融机构应当优化农民工工资专用账户开设服务流程，做好农民工工资专用账户的日常管理工作；发现资金未按约定拨付等情况的，及时通知施工总承包单位，</w:t>
      </w:r>
      <w:r>
        <w:rPr>
          <w:rFonts w:hint="eastAsia"/>
          <w:color w:val="000000" w:themeColor="text1"/>
          <w:lang w:val="en-US" w:eastAsia="zh-CN"/>
          <w14:textFill>
            <w14:solidFill>
              <w14:schemeClr w14:val="tx1"/>
            </w14:solidFill>
          </w14:textFill>
        </w:rPr>
        <w:t>由</w:t>
      </w:r>
      <w:r>
        <w:rPr>
          <w:color w:val="000000" w:themeColor="text1"/>
          <w14:textFill>
            <w14:solidFill>
              <w14:schemeClr w14:val="tx1"/>
            </w14:solidFill>
          </w14:textFill>
        </w:rPr>
        <w:t>施工总承包单位</w:t>
      </w:r>
      <w:r>
        <w:rPr>
          <w:rFonts w:hint="eastAsia"/>
          <w:color w:val="000000" w:themeColor="text1"/>
          <w:lang w:val="en-US" w:eastAsia="zh-CN"/>
          <w14:textFill>
            <w14:solidFill>
              <w14:schemeClr w14:val="tx1"/>
            </w14:solidFill>
          </w14:textFill>
        </w:rPr>
        <w:t>报告</w:t>
      </w:r>
      <w:r>
        <w:rPr>
          <w:color w:val="000000" w:themeColor="text1"/>
          <w14:textFill>
            <w14:solidFill>
              <w14:schemeClr w14:val="tx1"/>
            </w14:solidFill>
          </w14:textFill>
        </w:rPr>
        <w:t>区根治欠薪领导小组办公室和住房</w:t>
      </w:r>
      <w:r>
        <w:rPr>
          <w:color w:val="auto"/>
        </w:rPr>
        <w:t>城乡建设、交通运输、水利、农业等行业建设主管部门。建立信息共享机制，确保各方及时掌握账户资金动态。</w:t>
      </w:r>
    </w:p>
    <w:p>
      <w:pPr>
        <w:pStyle w:val="11"/>
        <w:keepNext w:val="0"/>
        <w:keepLines w:val="0"/>
        <w:pageBreakBefore w:val="0"/>
        <w:kinsoku/>
        <w:wordWrap/>
        <w:overflowPunct/>
        <w:topLinePunct w:val="0"/>
        <w:autoSpaceDE/>
        <w:autoSpaceDN/>
        <w:bidi w:val="0"/>
        <w:adjustRightInd/>
        <w:snapToGrid/>
        <w:spacing w:line="560" w:lineRule="exact"/>
        <w:textAlignment w:val="auto"/>
        <w:rPr>
          <w:b/>
          <w:color w:val="auto"/>
        </w:rPr>
      </w:pPr>
      <w:r>
        <w:rPr>
          <w:rFonts w:hint="eastAsia" w:ascii="仿宋_GB2312" w:hAnsi="仿宋_GB2312" w:eastAsia="仿宋_GB2312" w:cs="仿宋_GB2312"/>
          <w:b/>
          <w:color w:val="auto"/>
          <w:spacing w:val="-6"/>
          <w:sz w:val="32"/>
          <w:szCs w:val="32"/>
        </w:rPr>
        <w:t>第二十</w:t>
      </w:r>
      <w:r>
        <w:rPr>
          <w:rFonts w:hint="eastAsia" w:cs="仿宋_GB2312"/>
          <w:b/>
          <w:color w:val="auto"/>
          <w:spacing w:val="-6"/>
          <w:sz w:val="32"/>
          <w:szCs w:val="32"/>
          <w:lang w:val="en-US" w:eastAsia="zh-CN"/>
        </w:rPr>
        <w:t>五</w:t>
      </w:r>
      <w:r>
        <w:rPr>
          <w:rFonts w:hint="eastAsia" w:ascii="仿宋_GB2312" w:hAnsi="仿宋_GB2312" w:eastAsia="仿宋_GB2312" w:cs="仿宋_GB2312"/>
          <w:b/>
          <w:color w:val="auto"/>
          <w:spacing w:val="-6"/>
          <w:sz w:val="32"/>
          <w:szCs w:val="32"/>
        </w:rPr>
        <w:t>条　</w:t>
      </w:r>
      <w:r>
        <w:rPr>
          <w:color w:val="auto"/>
        </w:rPr>
        <w:t>区人力资源和社会保障</w:t>
      </w:r>
      <w:r>
        <w:rPr>
          <w:rFonts w:hint="eastAsia"/>
          <w:color w:val="000000" w:themeColor="text1"/>
          <w:lang w:val="en-US" w:eastAsia="zh-CN"/>
          <w14:textFill>
            <w14:solidFill>
              <w14:schemeClr w14:val="tx1"/>
            </w14:solidFill>
          </w14:textFill>
        </w:rPr>
        <w:t>综合行政执法</w:t>
      </w:r>
      <w:r>
        <w:rPr>
          <w:rFonts w:hint="eastAsia"/>
          <w:color w:val="auto"/>
          <w:lang w:val="en-US" w:eastAsia="zh-CN"/>
        </w:rPr>
        <w:t>部门</w:t>
      </w:r>
      <w:r>
        <w:rPr>
          <w:color w:val="auto"/>
        </w:rPr>
        <w:t>负责对《中华人民共和国劳动法》《中华人民共和国劳动合同法》《劳动保障监察条例》贯彻落实情况进行监管，依法负责劳动保障行政执法工作。在查处拖欠农民工工资案件时，发生用人单位拒不配合调查、清偿责任主体及相关当事人无法联系等情形的，其他有关部门应当协助处理。对涉及人员众多、社会影响较大的案件，应及时通报公安机关，公安机关应依法及时处置。对发现拖欠农民工工资的违法行为涉嫌构成拒不支付劳动报酬罪的，应当按照规定及时移送公安机关。对作出责令支付被拖欠的农民工工资决定，相关单位不支付的，可以依法申请人民法院强制执行。</w:t>
      </w:r>
    </w:p>
    <w:p>
      <w:pPr>
        <w:pStyle w:val="19"/>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center"/>
        <w:textAlignment w:val="auto"/>
        <w:rPr>
          <w:b w:val="0"/>
          <w:color w:val="auto"/>
        </w:rPr>
      </w:pPr>
      <w:r>
        <w:rPr>
          <w:rFonts w:hint="eastAsia"/>
          <w:color w:val="auto"/>
          <w:lang w:val="en-US" w:eastAsia="zh-CN"/>
        </w:rPr>
        <w:t xml:space="preserve">第四章  </w:t>
      </w:r>
      <w:r>
        <w:rPr>
          <w:color w:val="auto"/>
        </w:rPr>
        <w:t>追责问责</w:t>
      </w:r>
    </w:p>
    <w:p>
      <w:pPr>
        <w:pStyle w:val="11"/>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FF0000"/>
          <w:lang w:val="en-US" w:eastAsia="zh-CN"/>
        </w:rPr>
      </w:pPr>
      <w:r>
        <w:rPr>
          <w:b/>
          <w:color w:val="auto"/>
        </w:rPr>
        <w:t>第二十</w:t>
      </w:r>
      <w:r>
        <w:rPr>
          <w:rFonts w:hint="eastAsia"/>
          <w:b/>
          <w:color w:val="auto"/>
          <w:lang w:val="en-US" w:eastAsia="zh-CN"/>
        </w:rPr>
        <w:t>六</w:t>
      </w:r>
      <w:r>
        <w:rPr>
          <w:b/>
          <w:color w:val="auto"/>
        </w:rPr>
        <w:t>条</w:t>
      </w:r>
      <w:r>
        <w:rPr>
          <w:color w:val="auto"/>
        </w:rPr>
        <w:t xml:space="preserve"> </w:t>
      </w:r>
      <w:r>
        <w:rPr>
          <w:rFonts w:hint="eastAsia"/>
          <w:color w:val="auto"/>
          <w:lang w:val="en-US" w:eastAsia="zh-CN"/>
        </w:rPr>
        <w:t xml:space="preserve">  人社局</w:t>
      </w:r>
      <w:r>
        <w:rPr>
          <w:rFonts w:hint="eastAsia"/>
          <w:color w:val="auto"/>
        </w:rPr>
        <w:t>、发展改革、财政、公安等部门和相关行业工程建设主管部门工作人员，在履行农民工工资支付监督管理职责过程中滥用职权、玩忽职守、徇私舞弊的，依法依规给予处分；构成犯罪的，依法追究刑事责任。</w:t>
      </w:r>
    </w:p>
    <w:p>
      <w:pPr>
        <w:pStyle w:val="19"/>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center"/>
        <w:textAlignment w:val="auto"/>
        <w:rPr>
          <w:b/>
          <w:bCs w:val="0"/>
          <w:color w:val="auto"/>
        </w:rPr>
      </w:pPr>
      <w:r>
        <w:rPr>
          <w:rFonts w:hint="eastAsia"/>
          <w:color w:val="auto"/>
          <w:lang w:val="en-US" w:eastAsia="zh-CN"/>
        </w:rPr>
        <w:t xml:space="preserve">第五章  </w:t>
      </w:r>
      <w:r>
        <w:rPr>
          <w:color w:val="auto"/>
        </w:rPr>
        <w:t>附则</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firstLine="616" w:firstLineChars="200"/>
        <w:textAlignment w:val="auto"/>
        <w:rPr>
          <w:rFonts w:hint="eastAsia"/>
          <w:color w:val="auto"/>
          <w:u w:val="single"/>
          <w:lang w:eastAsia="zh-CN"/>
        </w:rPr>
      </w:pPr>
      <w:r>
        <w:rPr>
          <w:rFonts w:hint="eastAsia"/>
          <w:b/>
          <w:bCs/>
          <w:color w:val="auto"/>
          <w:lang w:val="en-US" w:eastAsia="zh-CN"/>
        </w:rPr>
        <w:t>第二十七条</w:t>
      </w:r>
      <w:r>
        <w:rPr>
          <w:rFonts w:hint="eastAsia"/>
          <w:color w:val="auto"/>
          <w:lang w:val="en-US" w:eastAsia="zh-CN"/>
        </w:rPr>
        <w:t xml:space="preserve">  </w:t>
      </w:r>
      <w:r>
        <w:rPr>
          <w:rFonts w:hint="eastAsia"/>
          <w:color w:val="000000" w:themeColor="text1"/>
          <w:u w:val="none"/>
          <w:lang w:val="en-US" w:eastAsia="zh-CN"/>
          <w14:textFill>
            <w14:solidFill>
              <w14:schemeClr w14:val="tx1"/>
            </w14:solidFill>
          </w14:textFill>
        </w:rPr>
        <w:t>本办法适用于工程建设领域，</w:t>
      </w:r>
      <w:r>
        <w:rPr>
          <w:color w:val="000000" w:themeColor="text1"/>
          <w:u w:val="none"/>
          <w14:textFill>
            <w14:solidFill>
              <w14:schemeClr w14:val="tx1"/>
            </w14:solidFill>
          </w14:textFill>
        </w:rPr>
        <w:t>其他领域依照《保障农民工工资支付条例》执行。</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firstLine="616" w:firstLineChars="200"/>
        <w:textAlignment w:val="auto"/>
        <w:rPr>
          <w:b/>
          <w:color w:val="auto"/>
        </w:rPr>
      </w:pPr>
      <w:r>
        <w:rPr>
          <w:rFonts w:hint="eastAsia"/>
          <w:b/>
          <w:bCs/>
          <w:color w:val="auto"/>
          <w:lang w:val="en-US" w:eastAsia="zh-CN"/>
        </w:rPr>
        <w:t>第二十八条</w:t>
      </w:r>
      <w:r>
        <w:rPr>
          <w:rFonts w:hint="eastAsia"/>
          <w:color w:val="auto"/>
          <w:lang w:val="en-US" w:eastAsia="zh-CN"/>
        </w:rPr>
        <w:t xml:space="preserve">  </w:t>
      </w:r>
      <w:r>
        <w:rPr>
          <w:color w:val="auto"/>
        </w:rPr>
        <w:t>本办法由川汇区人民政府负责解释。</w:t>
      </w:r>
    </w:p>
    <w:p>
      <w:pPr>
        <w:pStyle w:val="11"/>
        <w:keepNext w:val="0"/>
        <w:keepLines w:val="0"/>
        <w:pageBreakBefore w:val="0"/>
        <w:numPr>
          <w:ilvl w:val="0"/>
          <w:numId w:val="0"/>
        </w:numPr>
        <w:kinsoku/>
        <w:wordWrap/>
        <w:overflowPunct/>
        <w:topLinePunct w:val="0"/>
        <w:autoSpaceDE/>
        <w:autoSpaceDN/>
        <w:bidi w:val="0"/>
        <w:adjustRightInd/>
        <w:snapToGrid/>
        <w:spacing w:line="560" w:lineRule="exact"/>
        <w:ind w:firstLine="616" w:firstLineChars="200"/>
        <w:textAlignment w:val="auto"/>
        <w:rPr>
          <w:color w:val="auto"/>
        </w:rPr>
      </w:pPr>
      <w:r>
        <w:rPr>
          <w:rFonts w:hint="eastAsia"/>
          <w:b/>
          <w:bCs/>
          <w:color w:val="auto"/>
          <w:lang w:val="en-US" w:eastAsia="zh-CN"/>
        </w:rPr>
        <w:t>第二十九条</w:t>
      </w:r>
      <w:r>
        <w:rPr>
          <w:rFonts w:hint="eastAsia"/>
          <w:color w:val="auto"/>
          <w:lang w:val="en-US" w:eastAsia="zh-CN"/>
        </w:rPr>
        <w:t xml:space="preserve">  </w:t>
      </w:r>
      <w:r>
        <w:rPr>
          <w:color w:val="auto"/>
        </w:rPr>
        <w:t>本办法自发布之日起 30 日后施行。</w:t>
      </w:r>
      <w:bookmarkStart w:id="0" w:name="_GoBack"/>
      <w:bookmarkEnd w:id="0"/>
    </w:p>
    <w:sectPr>
      <w:footerReference r:id="rId3" w:type="default"/>
      <w:footerReference r:id="rId4" w:type="even"/>
      <w:pgSz w:w="11906" w:h="16838"/>
      <w:pgMar w:top="2098" w:right="1474" w:bottom="1984" w:left="1587" w:header="851" w:footer="1417" w:gutter="0"/>
      <w:pgNumType w:fmt="decimal" w:start="1"/>
      <w:cols w:space="425" w:num="1"/>
      <w:docGrid w:type="linesAndChars" w:linePitch="579" w:charSpace="1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GWZT-EN">
    <w:altName w:val="DejaVu Math TeX Gyre"/>
    <w:panose1 w:val="02020400000000000000"/>
    <w:charset w:val="00"/>
    <w:family w:val="auto"/>
    <w:pitch w:val="default"/>
    <w:sig w:usb0="00000000" w:usb1="00000000" w:usb2="00082016" w:usb3="00000000" w:csb0="00000003" w:csb1="00000000"/>
  </w:font>
  <w:font w:name="DejaVu Math TeX Gyre">
    <w:panose1 w:val="02000503000000000000"/>
    <w:charset w:val="00"/>
    <w:family w:val="auto"/>
    <w:pitch w:val="default"/>
    <w:sig w:usb0="A10000EF" w:usb1="4201F9EE" w:usb2="02000000" w:usb3="00000000" w:csb0="60000193" w:csb1="0DD4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12700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ascii="宋体" w:hAnsi="宋体" w:eastAsia="宋体"/>
                              <w:sz w:val="28"/>
                            </w:rPr>
                          </w:pPr>
                          <w:r>
                            <w:rPr>
                              <w:rFonts w:ascii="宋体" w:hAnsi="宋体" w:eastAsia="宋体"/>
                              <w:sz w:val="28"/>
                            </w:rPr>
                            <w:t>—</w:t>
                          </w:r>
                          <w:r>
                            <w:rPr>
                              <w:rFonts w:ascii="宋体" w:hAnsi="宋体" w:eastAsia="宋体"/>
                              <w:sz w:val="24"/>
                            </w:rPr>
                            <w:t xml:space="preserve">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xml:space="preserve"> </w:t>
                          </w:r>
                          <w:r>
                            <w:rPr>
                              <w:rFonts w:ascii="宋体" w:hAnsi="宋体" w:eastAsia="宋体"/>
                              <w:sz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WAAAAZHJzL1BLAQIUABQAAAAIAIdO4kAAegHW0wAAAAYBAAAPAAAAAAAAAAEAIAAAADgA&#10;AABkcnMvZG93bnJldi54bWxQSwECFAAUAAAACACHTuJAa4X5+zECAABhBAAADgAAAAAAAAABACAA&#10;AAA4AQAAZHJzL2Uyb0RvYy54bWxQSwUGAAAAAAYABgBZAQAA2wUAAAAA&#10;">
              <v:fill on="f" focussize="0,0"/>
              <v:stroke on="f" weight="0.5pt"/>
              <v:imagedata o:title=""/>
              <o:lock v:ext="edit" aspectratio="f"/>
              <v:textbox inset="0mm,0mm,0mm,0mm" style="mso-fit-shape-to-text:t;">
                <w:txbxContent>
                  <w:p>
                    <w:pPr>
                      <w:pStyle w:val="12"/>
                      <w:rPr>
                        <w:rFonts w:ascii="宋体" w:hAnsi="宋体" w:eastAsia="宋体"/>
                        <w:sz w:val="28"/>
                      </w:rPr>
                    </w:pPr>
                    <w:r>
                      <w:rPr>
                        <w:rFonts w:ascii="宋体" w:hAnsi="宋体" w:eastAsia="宋体"/>
                        <w:sz w:val="28"/>
                      </w:rPr>
                      <w:t>—</w:t>
                    </w:r>
                    <w:r>
                      <w:rPr>
                        <w:rFonts w:ascii="宋体" w:hAnsi="宋体" w:eastAsia="宋体"/>
                        <w:sz w:val="24"/>
                      </w:rPr>
                      <w:t xml:space="preserve">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xml:space="preserve"> </w:t>
                    </w:r>
                    <w:r>
                      <w:rPr>
                        <w:rFonts w:ascii="宋体" w:hAnsi="宋体" w:eastAsia="宋体"/>
                        <w:sz w:val="28"/>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12700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ascii="宋体" w:hAnsi="宋体" w:eastAsia="宋体"/>
                              <w:sz w:val="28"/>
                            </w:rPr>
                          </w:pPr>
                          <w:r>
                            <w:rPr>
                              <w:rFonts w:ascii="宋体" w:hAnsi="宋体" w:eastAsia="宋体"/>
                              <w:sz w:val="28"/>
                            </w:rPr>
                            <w:t>—</w:t>
                          </w:r>
                          <w:r>
                            <w:rPr>
                              <w:rFonts w:ascii="宋体" w:hAnsi="宋体" w:eastAsia="宋体"/>
                              <w:sz w:val="24"/>
                            </w:rPr>
                            <w:t xml:space="preserve">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2</w:t>
                          </w:r>
                          <w:r>
                            <w:rPr>
                              <w:rFonts w:ascii="宋体" w:hAnsi="宋体" w:eastAsia="宋体"/>
                              <w:sz w:val="28"/>
                            </w:rPr>
                            <w:fldChar w:fldCharType="end"/>
                          </w:r>
                          <w:r>
                            <w:rPr>
                              <w:rFonts w:ascii="宋体" w:hAnsi="宋体" w:eastAsia="宋体"/>
                              <w:sz w:val="24"/>
                            </w:rPr>
                            <w:t xml:space="preserve"> </w:t>
                          </w:r>
                          <w:r>
                            <w:rPr>
                              <w:rFonts w:ascii="宋体" w:hAnsi="宋体" w:eastAsia="宋体"/>
                              <w:sz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WAAAAZHJzL1BLAQIUABQAAAAIAIdO4kAAegHW0wAAAAYBAAAPAAAAAAAAAAEAIAAAADgA&#10;AABkcnMvZG93bnJldi54bWxQSwECFAAUAAAACACHTuJAJIJGtDECAABhBAAADgAAAAAAAAABACAA&#10;AAA4AQAAZHJzL2Uyb0RvYy54bWxQSwUGAAAAAAYABgBZAQAA2wUAAAAA&#10;">
              <v:fill on="f" focussize="0,0"/>
              <v:stroke on="f" weight="0.5pt"/>
              <v:imagedata o:title=""/>
              <o:lock v:ext="edit" aspectratio="f"/>
              <v:textbox inset="0mm,0mm,0mm,0mm" style="mso-fit-shape-to-text:t;">
                <w:txbxContent>
                  <w:p>
                    <w:pPr>
                      <w:pStyle w:val="12"/>
                      <w:rPr>
                        <w:rFonts w:ascii="宋体" w:hAnsi="宋体" w:eastAsia="宋体"/>
                        <w:sz w:val="28"/>
                      </w:rPr>
                    </w:pPr>
                    <w:r>
                      <w:rPr>
                        <w:rFonts w:ascii="宋体" w:hAnsi="宋体" w:eastAsia="宋体"/>
                        <w:sz w:val="28"/>
                      </w:rPr>
                      <w:t>—</w:t>
                    </w:r>
                    <w:r>
                      <w:rPr>
                        <w:rFonts w:ascii="宋体" w:hAnsi="宋体" w:eastAsia="宋体"/>
                        <w:sz w:val="24"/>
                      </w:rPr>
                      <w:t xml:space="preserve">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2</w:t>
                    </w:r>
                    <w:r>
                      <w:rPr>
                        <w:rFonts w:ascii="宋体" w:hAnsi="宋体" w:eastAsia="宋体"/>
                        <w:sz w:val="28"/>
                      </w:rPr>
                      <w:fldChar w:fldCharType="end"/>
                    </w:r>
                    <w:r>
                      <w:rPr>
                        <w:rFonts w:ascii="宋体" w:hAnsi="宋体" w:eastAsia="宋体"/>
                        <w:sz w:val="24"/>
                      </w:rPr>
                      <w:t xml:space="preserve"> </w:t>
                    </w:r>
                    <w:r>
                      <w:rPr>
                        <w:rFonts w:ascii="宋体" w:hAnsi="宋体" w:eastAsia="宋体"/>
                        <w:sz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evenAndOddHeaders w:val="1"/>
  <w:drawingGridHorizontalSpacing w:val="158"/>
  <w:drawingGridVerticalSpacing w:val="29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B72735"/>
    <w:rsid w:val="066011B3"/>
    <w:rsid w:val="17AE1FE3"/>
    <w:rsid w:val="17B6748E"/>
    <w:rsid w:val="1CB72735"/>
    <w:rsid w:val="1F8B426D"/>
    <w:rsid w:val="21545B99"/>
    <w:rsid w:val="261514EB"/>
    <w:rsid w:val="2E475FF1"/>
    <w:rsid w:val="31C82044"/>
    <w:rsid w:val="323068E5"/>
    <w:rsid w:val="375B2435"/>
    <w:rsid w:val="3BC8308C"/>
    <w:rsid w:val="3E526AD0"/>
    <w:rsid w:val="400771CC"/>
    <w:rsid w:val="493C6A78"/>
    <w:rsid w:val="495010D7"/>
    <w:rsid w:val="4A895CED"/>
    <w:rsid w:val="4C6E251D"/>
    <w:rsid w:val="58E20530"/>
    <w:rsid w:val="59B9221A"/>
    <w:rsid w:val="612956DC"/>
    <w:rsid w:val="73CE4952"/>
    <w:rsid w:val="763907AE"/>
    <w:rsid w:val="77116A65"/>
    <w:rsid w:val="7EDF4B9A"/>
    <w:rsid w:val="7FEB6B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next w:val="1"/>
    <w:qFormat/>
    <w:uiPriority w:val="0"/>
    <w:pPr>
      <w:keepNext/>
      <w:keepLines/>
      <w:spacing w:beforeLines="0" w:beforeAutospacing="0" w:afterLines="0" w:afterAutospacing="0" w:line="560" w:lineRule="exact"/>
      <w:ind w:firstLine="894" w:firstLineChars="200"/>
      <w:outlineLvl w:val="0"/>
    </w:pPr>
    <w:rPr>
      <w:rFonts w:ascii="黑体" w:hAnsi="黑体" w:eastAsia="黑体" w:cs="黑体"/>
      <w:kern w:val="44"/>
      <w:sz w:val="32"/>
      <w:szCs w:val="32"/>
    </w:rPr>
  </w:style>
  <w:style w:type="paragraph" w:styleId="3">
    <w:name w:val="heading 2"/>
    <w:next w:val="1"/>
    <w:semiHidden/>
    <w:unhideWhenUsed/>
    <w:qFormat/>
    <w:uiPriority w:val="0"/>
    <w:pPr>
      <w:keepNext/>
      <w:keepLines/>
      <w:spacing w:beforeLines="0" w:beforeAutospacing="0" w:afterLines="0" w:afterAutospacing="0" w:line="560" w:lineRule="exact"/>
      <w:ind w:firstLine="894" w:firstLineChars="200"/>
      <w:outlineLvl w:val="1"/>
    </w:pPr>
    <w:rPr>
      <w:rFonts w:ascii="楷体_GB2312" w:hAnsi="楷体_GB2312" w:eastAsia="楷体_GB2312" w:cs="楷体_GB2312"/>
      <w:sz w:val="32"/>
      <w:szCs w:val="32"/>
    </w:rPr>
  </w:style>
  <w:style w:type="paragraph" w:styleId="4">
    <w:name w:val="heading 3"/>
    <w:next w:val="1"/>
    <w:semiHidden/>
    <w:unhideWhenUsed/>
    <w:qFormat/>
    <w:uiPriority w:val="0"/>
    <w:pPr>
      <w:keepNext/>
      <w:keepLines/>
      <w:spacing w:beforeLines="0" w:beforeAutospacing="0" w:afterLines="0" w:afterAutospacing="0" w:line="560" w:lineRule="exact"/>
      <w:ind w:firstLine="894" w:firstLineChars="200"/>
      <w:outlineLvl w:val="2"/>
    </w:pPr>
    <w:rPr>
      <w:rFonts w:ascii="仿宋_GB2312" w:hAnsi="仿宋_GB2312" w:eastAsia="仿宋_GB2312" w:cs="仿宋_GB2312"/>
      <w:sz w:val="32"/>
      <w:szCs w:val="32"/>
    </w:rPr>
  </w:style>
  <w:style w:type="paragraph" w:styleId="5">
    <w:name w:val="heading 4"/>
    <w:next w:val="1"/>
    <w:semiHidden/>
    <w:unhideWhenUsed/>
    <w:qFormat/>
    <w:uiPriority w:val="0"/>
    <w:pPr>
      <w:keepNext/>
      <w:keepLines/>
      <w:spacing w:beforeLines="0" w:beforeAutospacing="0" w:afterLines="0" w:afterAutospacing="0" w:line="560" w:lineRule="exact"/>
      <w:ind w:firstLine="894" w:firstLineChars="200"/>
      <w:outlineLvl w:val="3"/>
    </w:pPr>
    <w:rPr>
      <w:rFonts w:ascii="仿宋_GB2312" w:hAnsi="仿宋_GB2312" w:eastAsia="仿宋_GB2312" w:cs="仿宋_GB2312"/>
      <w:sz w:val="32"/>
      <w:szCs w:val="32"/>
    </w:rPr>
  </w:style>
  <w:style w:type="paragraph" w:styleId="6">
    <w:name w:val="heading 5"/>
    <w:next w:val="1"/>
    <w:semiHidden/>
    <w:unhideWhenUsed/>
    <w:qFormat/>
    <w:uiPriority w:val="0"/>
    <w:pPr>
      <w:spacing w:line="560" w:lineRule="exact"/>
      <w:ind w:firstLine="894" w:firstLineChars="200"/>
      <w:outlineLvl w:val="4"/>
    </w:pPr>
    <w:rPr>
      <w:rFonts w:ascii="仿宋_GB2312" w:hAnsi="仿宋_GB2312" w:eastAsia="仿宋_GB2312" w:cs="仿宋_GB2312"/>
      <w:sz w:val="32"/>
      <w:szCs w:val="32"/>
    </w:rPr>
  </w:style>
  <w:style w:type="paragraph" w:styleId="7">
    <w:name w:val="heading 6"/>
    <w:next w:val="1"/>
    <w:semiHidden/>
    <w:unhideWhenUsed/>
    <w:qFormat/>
    <w:uiPriority w:val="0"/>
    <w:pPr>
      <w:spacing w:line="560" w:lineRule="exact"/>
      <w:ind w:firstLine="894" w:firstLineChars="200"/>
      <w:outlineLvl w:val="5"/>
    </w:pPr>
    <w:rPr>
      <w:rFonts w:ascii="仿宋_GB2312" w:hAnsi="仿宋_GB2312" w:eastAsia="仿宋_GB2312" w:cs="仿宋_GB2312"/>
      <w:sz w:val="32"/>
      <w:szCs w:val="32"/>
    </w:rPr>
  </w:style>
  <w:style w:type="paragraph" w:styleId="8">
    <w:name w:val="heading 7"/>
    <w:next w:val="1"/>
    <w:semiHidden/>
    <w:unhideWhenUsed/>
    <w:qFormat/>
    <w:uiPriority w:val="0"/>
    <w:pPr>
      <w:spacing w:line="560" w:lineRule="exact"/>
      <w:ind w:firstLine="894" w:firstLineChars="200"/>
      <w:outlineLvl w:val="6"/>
    </w:pPr>
    <w:rPr>
      <w:rFonts w:ascii="仿宋_GB2312" w:hAnsi="仿宋_GB2312" w:eastAsia="仿宋_GB2312" w:cs="仿宋_GB2312"/>
      <w:sz w:val="32"/>
      <w:szCs w:val="32"/>
    </w:rPr>
  </w:style>
  <w:style w:type="paragraph" w:styleId="9">
    <w:name w:val="heading 8"/>
    <w:next w:val="1"/>
    <w:semiHidden/>
    <w:unhideWhenUsed/>
    <w:qFormat/>
    <w:uiPriority w:val="0"/>
    <w:pPr>
      <w:spacing w:line="560" w:lineRule="exact"/>
      <w:ind w:firstLine="894" w:firstLineChars="200"/>
      <w:outlineLvl w:val="7"/>
    </w:pPr>
    <w:rPr>
      <w:rFonts w:ascii="仿宋_GB2312" w:hAnsi="仿宋_GB2312" w:eastAsia="仿宋_GB2312" w:cs="仿宋_GB2312"/>
      <w:sz w:val="32"/>
      <w:szCs w:val="32"/>
    </w:rPr>
  </w:style>
  <w:style w:type="paragraph" w:styleId="10">
    <w:name w:val="heading 9"/>
    <w:next w:val="1"/>
    <w:semiHidden/>
    <w:unhideWhenUsed/>
    <w:qFormat/>
    <w:uiPriority w:val="0"/>
    <w:pPr>
      <w:spacing w:line="560" w:lineRule="exact"/>
      <w:ind w:firstLine="894" w:firstLineChars="200"/>
      <w:outlineLvl w:val="8"/>
    </w:pPr>
    <w:rPr>
      <w:rFonts w:ascii="仿宋_GB2312" w:hAnsi="仿宋_GB2312" w:eastAsia="仿宋_GB2312" w:cs="仿宋_GB2312"/>
      <w:sz w:val="32"/>
      <w:szCs w:val="32"/>
    </w:rPr>
  </w:style>
  <w:style w:type="character" w:default="1" w:styleId="18">
    <w:name w:val="Default Paragraph Font"/>
    <w:semiHidden/>
    <w:qFormat/>
    <w:uiPriority w:val="0"/>
    <w:rPr>
      <w:rFonts w:ascii="GWZT-EN" w:hAnsi="GWZT-EN" w:eastAsia="仿宋_GB2312"/>
      <w:sz w:val="32"/>
    </w:rPr>
  </w:style>
  <w:style w:type="table" w:default="1" w:styleId="17">
    <w:name w:val="Normal Table"/>
    <w:semiHidden/>
    <w:qFormat/>
    <w:uiPriority w:val="0"/>
    <w:tblPr>
      <w:tblCellMar>
        <w:top w:w="0" w:type="dxa"/>
        <w:left w:w="108" w:type="dxa"/>
        <w:bottom w:w="0" w:type="dxa"/>
        <w:right w:w="108" w:type="dxa"/>
      </w:tblCellMar>
    </w:tblPr>
  </w:style>
  <w:style w:type="paragraph" w:styleId="11">
    <w:name w:val="Body Text"/>
    <w:qFormat/>
    <w:uiPriority w:val="0"/>
    <w:pPr>
      <w:spacing w:line="560" w:lineRule="exact"/>
      <w:ind w:firstLine="630" w:firstLineChars="200"/>
      <w:jc w:val="both"/>
    </w:pPr>
    <w:rPr>
      <w:rFonts w:ascii="仿宋_GB2312" w:hAnsi="仿宋_GB2312" w:eastAsia="仿宋_GB2312" w:cs="仿宋_GB2312"/>
      <w:spacing w:val="-6"/>
      <w:sz w:val="32"/>
      <w:szCs w:val="32"/>
    </w:rPr>
  </w:style>
  <w:style w:type="paragraph" w:styleId="12">
    <w:name w:val="footer"/>
    <w:basedOn w:val="1"/>
    <w:qFormat/>
    <w:uiPriority w:val="0"/>
    <w:pPr>
      <w:tabs>
        <w:tab w:val="center" w:pos="4153"/>
        <w:tab w:val="right" w:pos="8306"/>
      </w:tabs>
      <w:snapToGrid w:val="0"/>
      <w:jc w:val="left"/>
    </w:pPr>
    <w:rPr>
      <w:rFonts w:ascii="GWZT-EN" w:hAnsi="GWZT-EN" w:eastAsia="宋体" w:cs="Times New Roman"/>
      <w:spacing w:val="-6"/>
      <w:sz w:val="28"/>
      <w:szCs w:val="32"/>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Subtitle"/>
    <w:qFormat/>
    <w:uiPriority w:val="0"/>
    <w:pPr>
      <w:spacing w:beforeLines="0" w:beforeAutospacing="0" w:afterLines="0" w:afterAutospacing="0" w:line="720" w:lineRule="exact"/>
      <w:jc w:val="center"/>
      <w:outlineLvl w:val="9"/>
    </w:pPr>
    <w:rPr>
      <w:rFonts w:ascii="方正小标宋简体" w:hAnsi="方正小标宋简体" w:eastAsia="方正小标宋简体" w:cs="方正小标宋简体"/>
      <w:kern w:val="28"/>
      <w:sz w:val="44"/>
      <w:szCs w:val="44"/>
    </w:rPr>
  </w:style>
  <w:style w:type="paragraph" w:styleId="1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6">
    <w:name w:val="Title"/>
    <w:qFormat/>
    <w:uiPriority w:val="0"/>
    <w:pPr>
      <w:spacing w:line="720" w:lineRule="exact"/>
      <w:jc w:val="center"/>
      <w:outlineLvl w:val="9"/>
    </w:pPr>
    <w:rPr>
      <w:rFonts w:ascii="方正小标宋简体" w:hAnsi="方正小标宋简体" w:eastAsia="方正小标宋简体" w:cs="方正小标宋简体"/>
      <w:sz w:val="44"/>
      <w:szCs w:val="44"/>
    </w:rPr>
  </w:style>
  <w:style w:type="paragraph" w:customStyle="1" w:styleId="19">
    <w:name w:val="章标题"/>
    <w:next w:val="1"/>
    <w:qFormat/>
    <w:uiPriority w:val="0"/>
    <w:pPr>
      <w:widowControl w:val="0"/>
      <w:spacing w:line="560" w:lineRule="exact"/>
      <w:jc w:val="center"/>
      <w:outlineLvl w:val="0"/>
    </w:pPr>
    <w:rPr>
      <w:rFonts w:ascii="黑体" w:hAnsi="黑体" w:eastAsia="黑体" w:cs="黑体"/>
      <w:bCs/>
      <w:spacing w:val="-6"/>
      <w:kern w:val="44"/>
      <w:sz w:val="32"/>
      <w:szCs w:val="32"/>
      <w:lang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4050</Words>
  <Characters>4057</Characters>
  <Lines>0</Lines>
  <Paragraphs>0</Paragraphs>
  <TotalTime>0</TotalTime>
  <ScaleCrop>false</ScaleCrop>
  <LinksUpToDate>false</LinksUpToDate>
  <CharactersWithSpaces>4128</CharactersWithSpaces>
  <Application>WPS Office_11.8.2.11958_F1E327BC-269C-435d-A152-05C5408002CA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2025-09-24T17:40:00Z</dcterms:created>
  <dc:creator>--</dc:creator>
  <cp:lastModifiedBy>greatwall</cp:lastModifiedBy>
  <cp:lastPrinted>2025-11-10T14:54:00Z</cp:lastPrinted>
  <dcterms:modified xsi:type="dcterms:W3CDTF">2025-11-13T09:41:10Z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2052-11.8.2.11958</vt:lpwstr>
  </property>
  <property fmtid="{D5CDD505-2E9C-101B-9397-08002B2CF9AE}" pid="3" name="ICV">
    <vt:lpwstr>7AB3F3A701604561AA805CF1AA54ED4E_13</vt:lpwstr>
  </property>
  <property fmtid="{D5CDD505-2E9C-101B-9397-08002B2CF9AE}" pid="4" name="KSOTemplateDocerSaveRecord">
    <vt:lpwstr>eyJoZGlkIjoiZTg5NzFhZjIzZjNhZTEzZDg0OGIzMWE1OTMxZDFhYjgiLCJ1c2VySWQiOiI2OTExMjAwNjgifQ==</vt:lpwstr>
  </property>
</Properties>
</file>