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fonts/font6.odttf" ContentType="application/vnd.openxmlformats-officedocument.obfuscatedFont"/>
  <Override PartName="/word/fonts/font7.odttf" ContentType="application/vnd.openxmlformats-officedocument.obfuscatedFont"/>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640" w:lineRule="exact"/>
        <w:jc w:val="left"/>
        <w:rPr>
          <w:rFonts w:ascii="黑体" w:hAnsi="宋体" w:eastAsia="黑体" w:cs="宋体"/>
          <w:sz w:val="28"/>
          <w:szCs w:val="28"/>
        </w:rPr>
      </w:pPr>
    </w:p>
    <w:p>
      <w:pPr>
        <w:widowControl/>
        <w:spacing w:line="640" w:lineRule="exact"/>
        <w:jc w:val="left"/>
        <w:rPr>
          <w:rFonts w:ascii="黑体" w:hAnsi="宋体" w:eastAsia="黑体" w:cs="宋体"/>
          <w:sz w:val="28"/>
          <w:szCs w:val="28"/>
        </w:rPr>
      </w:pPr>
    </w:p>
    <w:p>
      <w:pPr>
        <w:widowControl/>
        <w:spacing w:line="640" w:lineRule="exact"/>
        <w:jc w:val="left"/>
        <w:rPr>
          <w:rFonts w:ascii="黑体" w:hAnsi="宋体" w:eastAsia="黑体" w:cs="宋体"/>
          <w:sz w:val="28"/>
          <w:szCs w:val="28"/>
        </w:rPr>
      </w:pPr>
    </w:p>
    <w:p>
      <w:pPr>
        <w:widowControl/>
        <w:spacing w:line="640" w:lineRule="exact"/>
        <w:jc w:val="left"/>
        <w:rPr>
          <w:rFonts w:ascii="黑体" w:hAnsi="宋体" w:eastAsia="黑体" w:cs="宋体"/>
          <w:sz w:val="28"/>
          <w:szCs w:val="28"/>
        </w:rPr>
      </w:pPr>
    </w:p>
    <w:p>
      <w:pPr>
        <w:widowControl/>
        <w:spacing w:line="640" w:lineRule="exact"/>
        <w:jc w:val="left"/>
        <w:rPr>
          <w:rFonts w:ascii="黑体" w:hAnsi="宋体" w:eastAsia="黑体" w:cs="宋体"/>
          <w:sz w:val="28"/>
          <w:szCs w:val="28"/>
        </w:rPr>
      </w:pPr>
    </w:p>
    <w:p>
      <w:pPr>
        <w:widowControl/>
        <w:spacing w:line="640" w:lineRule="exact"/>
        <w:jc w:val="left"/>
        <w:rPr>
          <w:rFonts w:ascii="黑体" w:hAnsi="宋体" w:eastAsia="黑体" w:cs="宋体"/>
          <w:sz w:val="28"/>
          <w:szCs w:val="28"/>
        </w:rPr>
      </w:pPr>
    </w:p>
    <w:p>
      <w:pPr>
        <w:widowControl/>
        <w:spacing w:line="640" w:lineRule="exact"/>
        <w:jc w:val="left"/>
        <w:rPr>
          <w:rFonts w:ascii="黑体" w:hAnsi="宋体" w:eastAsia="黑体" w:cs="宋体"/>
          <w:sz w:val="28"/>
          <w:szCs w:val="28"/>
        </w:rPr>
      </w:pPr>
    </w:p>
    <w:p>
      <w:pPr>
        <w:spacing w:line="640" w:lineRule="exact"/>
        <w:jc w:val="center"/>
        <w:rPr>
          <w:rFonts w:hint="eastAsia" w:ascii="黑体" w:hAnsi="黑体" w:eastAsia="黑体" w:cs="黑体"/>
          <w:sz w:val="42"/>
          <w:szCs w:val="42"/>
          <w:lang w:val="en-US" w:eastAsia="zh-CN"/>
        </w:rPr>
      </w:pPr>
      <w:r>
        <w:rPr>
          <w:rFonts w:hint="eastAsia" w:ascii="黑体" w:hAnsi="黑体" w:eastAsia="黑体" w:cs="黑体"/>
          <w:sz w:val="42"/>
          <w:szCs w:val="42"/>
          <w:lang w:val="en-US" w:eastAsia="zh-CN"/>
        </w:rPr>
        <w:t>周口市川汇区妇幼保健计划生育服务中心</w:t>
      </w:r>
    </w:p>
    <w:p>
      <w:pPr>
        <w:spacing w:line="640" w:lineRule="exact"/>
        <w:jc w:val="center"/>
        <w:rPr>
          <w:rFonts w:hint="eastAsia" w:ascii="黑体" w:hAnsi="黑体" w:eastAsia="黑体" w:cs="黑体"/>
          <w:sz w:val="42"/>
          <w:szCs w:val="42"/>
        </w:rPr>
      </w:pPr>
      <w:r>
        <w:rPr>
          <w:rFonts w:hint="eastAsia" w:ascii="黑体" w:hAnsi="黑体" w:eastAsia="黑体" w:cs="黑体"/>
          <w:sz w:val="42"/>
          <w:szCs w:val="42"/>
        </w:rPr>
        <w:t>202</w:t>
      </w:r>
      <w:r>
        <w:rPr>
          <w:rFonts w:hint="eastAsia" w:ascii="黑体" w:hAnsi="黑体" w:eastAsia="黑体" w:cs="黑体"/>
          <w:sz w:val="42"/>
          <w:szCs w:val="42"/>
          <w:lang w:val="en-US" w:eastAsia="zh-CN"/>
        </w:rPr>
        <w:t>4</w:t>
      </w:r>
      <w:r>
        <w:rPr>
          <w:rFonts w:hint="eastAsia" w:ascii="黑体" w:hAnsi="黑体" w:eastAsia="黑体" w:cs="黑体"/>
          <w:sz w:val="42"/>
          <w:szCs w:val="42"/>
        </w:rPr>
        <w:t>年度部门预算</w:t>
      </w:r>
    </w:p>
    <w:p>
      <w:pPr>
        <w:spacing w:line="640" w:lineRule="exact"/>
        <w:jc w:val="center"/>
        <w:rPr>
          <w:rFonts w:ascii="黑体" w:hAnsi="黑体" w:eastAsia="黑体"/>
          <w:sz w:val="52"/>
          <w:szCs w:val="52"/>
        </w:rPr>
      </w:pPr>
    </w:p>
    <w:p>
      <w:pPr>
        <w:spacing w:line="640" w:lineRule="exact"/>
        <w:jc w:val="center"/>
        <w:rPr>
          <w:rFonts w:ascii="黑体" w:hAnsi="黑体" w:eastAsia="黑体"/>
          <w:sz w:val="52"/>
          <w:szCs w:val="52"/>
        </w:rPr>
      </w:pPr>
    </w:p>
    <w:p>
      <w:pPr>
        <w:spacing w:line="640" w:lineRule="exact"/>
        <w:jc w:val="center"/>
        <w:rPr>
          <w:rFonts w:ascii="黑体" w:hAnsi="黑体" w:eastAsia="黑体"/>
          <w:sz w:val="52"/>
          <w:szCs w:val="52"/>
        </w:rPr>
      </w:pPr>
    </w:p>
    <w:p>
      <w:pPr>
        <w:spacing w:line="640" w:lineRule="exact"/>
        <w:jc w:val="center"/>
        <w:rPr>
          <w:rFonts w:ascii="黑体" w:hAnsi="黑体" w:eastAsia="黑体"/>
          <w:sz w:val="52"/>
          <w:szCs w:val="52"/>
        </w:rPr>
      </w:pPr>
    </w:p>
    <w:p>
      <w:pPr>
        <w:spacing w:line="640" w:lineRule="exact"/>
        <w:jc w:val="center"/>
        <w:rPr>
          <w:rFonts w:ascii="黑体" w:hAnsi="黑体" w:eastAsia="黑体"/>
          <w:sz w:val="52"/>
          <w:szCs w:val="52"/>
        </w:rPr>
      </w:pPr>
    </w:p>
    <w:p>
      <w:pPr>
        <w:spacing w:line="640" w:lineRule="exact"/>
        <w:jc w:val="center"/>
        <w:rPr>
          <w:rFonts w:hint="eastAsia" w:ascii="黑体" w:hAnsi="黑体" w:eastAsia="黑体"/>
          <w:sz w:val="52"/>
          <w:szCs w:val="52"/>
        </w:rPr>
      </w:pPr>
    </w:p>
    <w:p>
      <w:pPr>
        <w:spacing w:line="640" w:lineRule="exact"/>
        <w:jc w:val="center"/>
        <w:rPr>
          <w:rFonts w:hint="eastAsia" w:ascii="黑体" w:hAnsi="黑体" w:eastAsia="黑体"/>
          <w:sz w:val="52"/>
          <w:szCs w:val="52"/>
        </w:rPr>
      </w:pPr>
    </w:p>
    <w:p>
      <w:pPr>
        <w:spacing w:line="640" w:lineRule="exact"/>
        <w:jc w:val="both"/>
        <w:rPr>
          <w:rFonts w:hint="eastAsia" w:ascii="黑体" w:hAnsi="黑体" w:eastAsia="黑体"/>
          <w:sz w:val="52"/>
          <w:szCs w:val="52"/>
        </w:rPr>
      </w:pPr>
    </w:p>
    <w:p>
      <w:pPr>
        <w:spacing w:line="640" w:lineRule="exact"/>
        <w:jc w:val="center"/>
        <w:rPr>
          <w:rFonts w:ascii="黑体" w:hAnsi="黑体" w:eastAsia="黑体"/>
          <w:sz w:val="52"/>
          <w:szCs w:val="52"/>
        </w:rPr>
      </w:pPr>
    </w:p>
    <w:p>
      <w:pPr>
        <w:adjustRightInd w:val="0"/>
        <w:snapToGrid w:val="0"/>
        <w:spacing w:line="640" w:lineRule="exact"/>
        <w:jc w:val="center"/>
        <w:rPr>
          <w:rFonts w:ascii="仿宋_GB2312" w:hAnsi="仿宋_GB2312" w:eastAsia="仿宋_GB2312" w:cs="仿宋_GB2312"/>
          <w:sz w:val="32"/>
          <w:szCs w:val="32"/>
        </w:rPr>
      </w:pPr>
      <w:r>
        <w:rPr>
          <w:rFonts w:hint="eastAsia" w:ascii="黑体" w:hAnsi="方正小标宋简体" w:eastAsia="黑体" w:cs="方正小标宋简体"/>
          <w:sz w:val="32"/>
          <w:szCs w:val="32"/>
        </w:rPr>
        <w:t>二○二</w:t>
      </w:r>
      <w:r>
        <w:rPr>
          <w:rFonts w:hint="eastAsia" w:ascii="黑体" w:hAnsi="方正小标宋简体" w:eastAsia="黑体" w:cs="方正小标宋简体"/>
          <w:sz w:val="32"/>
          <w:szCs w:val="32"/>
          <w:lang w:val="en-US" w:eastAsia="zh-CN"/>
        </w:rPr>
        <w:t>四</w:t>
      </w:r>
      <w:r>
        <w:rPr>
          <w:rFonts w:hint="eastAsia" w:ascii="黑体" w:hAnsi="方正小标宋简体" w:eastAsia="黑体" w:cs="方正小标宋简体"/>
          <w:sz w:val="32"/>
          <w:szCs w:val="32"/>
        </w:rPr>
        <w:t>年</w:t>
      </w:r>
      <w:r>
        <w:rPr>
          <w:rFonts w:hint="eastAsia" w:ascii="黑体" w:hAnsi="方正小标宋简体" w:eastAsia="黑体" w:cs="方正小标宋简体"/>
          <w:sz w:val="32"/>
          <w:szCs w:val="32"/>
          <w:lang w:val="en-US" w:eastAsia="zh-CN"/>
        </w:rPr>
        <w:t>三</w:t>
      </w:r>
      <w:r>
        <w:rPr>
          <w:rFonts w:hint="eastAsia" w:ascii="黑体" w:hAnsi="方正小标宋简体" w:eastAsia="黑体" w:cs="方正小标宋简体"/>
          <w:sz w:val="32"/>
          <w:szCs w:val="32"/>
        </w:rPr>
        <w:t>月</w:t>
      </w:r>
    </w:p>
    <w:p>
      <w:pPr>
        <w:kinsoku w:val="0"/>
        <w:overflowPunct w:val="0"/>
        <w:adjustRightInd w:val="0"/>
        <w:snapToGrid w:val="0"/>
        <w:spacing w:line="640" w:lineRule="exact"/>
        <w:ind w:firstLine="30" w:firstLineChars="7"/>
        <w:jc w:val="center"/>
        <w:rPr>
          <w:rFonts w:hint="eastAsia" w:ascii="方正小标宋简体" w:hAnsi="仿宋_GB2312" w:eastAsia="方正小标宋简体" w:cs="仿宋_GB2312"/>
          <w:sz w:val="44"/>
          <w:szCs w:val="44"/>
        </w:rPr>
      </w:pPr>
    </w:p>
    <w:p>
      <w:pPr>
        <w:kinsoku w:val="0"/>
        <w:overflowPunct w:val="0"/>
        <w:adjustRightInd w:val="0"/>
        <w:snapToGrid w:val="0"/>
        <w:spacing w:line="640" w:lineRule="exact"/>
        <w:ind w:firstLine="30" w:firstLineChars="7"/>
        <w:jc w:val="center"/>
        <w:rPr>
          <w:rFonts w:hint="eastAsia" w:ascii="方正小标宋简体" w:hAnsi="仿宋_GB2312" w:eastAsia="方正小标宋简体" w:cs="仿宋_GB2312"/>
          <w:sz w:val="44"/>
          <w:szCs w:val="44"/>
        </w:rPr>
      </w:pPr>
    </w:p>
    <w:p>
      <w:pPr>
        <w:kinsoku w:val="0"/>
        <w:overflowPunct w:val="0"/>
        <w:adjustRightInd w:val="0"/>
        <w:snapToGrid w:val="0"/>
        <w:spacing w:line="640" w:lineRule="exact"/>
        <w:ind w:firstLine="30" w:firstLineChars="7"/>
        <w:jc w:val="center"/>
        <w:rPr>
          <w:rFonts w:ascii="仿宋_GB2312" w:hAnsi="仿宋_GB2312" w:eastAsia="仿宋_GB2312" w:cs="仿宋_GB2312"/>
          <w:b/>
          <w:bCs/>
          <w:sz w:val="32"/>
          <w:szCs w:val="32"/>
        </w:rPr>
      </w:pPr>
      <w:r>
        <w:rPr>
          <w:rFonts w:hint="eastAsia" w:ascii="方正小标宋简体" w:hAnsi="仿宋_GB2312" w:eastAsia="方正小标宋简体" w:cs="仿宋_GB2312"/>
          <w:sz w:val="44"/>
          <w:szCs w:val="44"/>
        </w:rPr>
        <w:t>目  录</w:t>
      </w:r>
    </w:p>
    <w:p>
      <w:pPr>
        <w:kinsoku w:val="0"/>
        <w:overflowPunct w:val="0"/>
        <w:adjustRightInd w:val="0"/>
        <w:snapToGrid w:val="0"/>
        <w:spacing w:line="640" w:lineRule="exact"/>
        <w:ind w:firstLine="643" w:firstLineChars="200"/>
        <w:rPr>
          <w:rFonts w:hint="eastAsia" w:ascii="仿宋_GB2312" w:hAnsi="仿宋_GB2312" w:eastAsia="仿宋_GB2312" w:cs="仿宋_GB2312"/>
          <w:b/>
          <w:bCs/>
          <w:w w:val="96"/>
          <w:sz w:val="32"/>
          <w:szCs w:val="32"/>
          <w:lang w:val="en-US" w:eastAsia="zh-CN"/>
        </w:rPr>
      </w:pPr>
      <w:r>
        <w:rPr>
          <w:rFonts w:hint="eastAsia" w:ascii="仿宋_GB2312" w:hAnsi="仿宋_GB2312" w:eastAsia="仿宋_GB2312" w:cs="仿宋_GB2312"/>
          <w:b/>
          <w:bCs/>
          <w:sz w:val="32"/>
          <w:szCs w:val="32"/>
        </w:rPr>
        <w:t xml:space="preserve">第一部分 </w:t>
      </w:r>
      <w:r>
        <w:rPr>
          <w:rFonts w:hint="eastAsia" w:ascii="仿宋_GB2312" w:hAnsi="仿宋_GB2312" w:eastAsia="仿宋_GB2312" w:cs="仿宋_GB2312"/>
          <w:b/>
          <w:bCs/>
          <w:w w:val="96"/>
          <w:sz w:val="32"/>
          <w:szCs w:val="32"/>
          <w:lang w:val="en-US" w:eastAsia="zh-CN"/>
        </w:rPr>
        <w:t xml:space="preserve"> 周口市川汇区妇幼保健计划生育服务中心概况 </w:t>
      </w:r>
    </w:p>
    <w:p>
      <w:pPr>
        <w:kinsoku w:val="0"/>
        <w:overflowPunct w:val="0"/>
        <w:adjustRightInd w:val="0"/>
        <w:snapToGrid w:val="0"/>
        <w:spacing w:line="640" w:lineRule="exact"/>
        <w:ind w:firstLine="960" w:firstLineChars="300"/>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一、主要职责</w:t>
      </w:r>
    </w:p>
    <w:p>
      <w:pPr>
        <w:kinsoku w:val="0"/>
        <w:overflowPunct w:val="0"/>
        <w:adjustRightInd w:val="0"/>
        <w:snapToGrid w:val="0"/>
        <w:spacing w:line="640" w:lineRule="exact"/>
        <w:ind w:firstLine="960" w:firstLineChars="300"/>
        <w:rPr>
          <w:rFonts w:ascii="仿宋_GB2312" w:hAnsi="仿宋_GB2312" w:eastAsia="仿宋_GB2312" w:cs="仿宋_GB2312"/>
          <w:sz w:val="32"/>
          <w:szCs w:val="32"/>
        </w:rPr>
      </w:pPr>
      <w:r>
        <w:rPr>
          <w:rFonts w:hint="eastAsia" w:ascii="仿宋_GB2312" w:hAnsi="仿宋_GB2312" w:eastAsia="仿宋_GB2312" w:cs="仿宋_GB2312"/>
          <w:sz w:val="32"/>
          <w:szCs w:val="32"/>
        </w:rPr>
        <w:t>二、</w:t>
      </w:r>
      <w:r>
        <w:rPr>
          <w:rFonts w:ascii="仿宋_GB2312" w:hAnsi="Times New Roman" w:eastAsia="仿宋_GB2312" w:cs="仿宋_GB2312"/>
          <w:sz w:val="32"/>
          <w:szCs w:val="32"/>
        </w:rPr>
        <w:t>部门</w:t>
      </w:r>
      <w:r>
        <w:rPr>
          <w:rFonts w:hint="eastAsia" w:ascii="仿宋_GB2312" w:hAnsi="Times New Roman" w:eastAsia="仿宋_GB2312" w:cs="仿宋_GB2312"/>
          <w:sz w:val="32"/>
          <w:szCs w:val="32"/>
        </w:rPr>
        <w:t>所属</w:t>
      </w:r>
      <w:r>
        <w:rPr>
          <w:rFonts w:ascii="仿宋_GB2312" w:hAnsi="Times New Roman" w:eastAsia="仿宋_GB2312" w:cs="仿宋_GB2312"/>
          <w:sz w:val="32"/>
          <w:szCs w:val="32"/>
        </w:rPr>
        <w:t>预算单位</w:t>
      </w:r>
      <w:r>
        <w:rPr>
          <w:rFonts w:hint="eastAsia" w:ascii="仿宋_GB2312" w:hAnsi="Times New Roman" w:eastAsia="仿宋_GB2312" w:cs="仿宋_GB2312"/>
          <w:sz w:val="32"/>
          <w:szCs w:val="32"/>
        </w:rPr>
        <w:t>构成情况</w:t>
      </w:r>
    </w:p>
    <w:p>
      <w:pPr>
        <w:kinsoku w:val="0"/>
        <w:overflowPunct w:val="0"/>
        <w:adjustRightInd w:val="0"/>
        <w:snapToGrid w:val="0"/>
        <w:spacing w:line="640" w:lineRule="exact"/>
        <w:ind w:left="638" w:leftChars="304" w:firstLine="0" w:firstLineChars="0"/>
        <w:rPr>
          <w:rFonts w:ascii="仿宋_GB2312" w:hAnsi="仿宋_GB2312" w:eastAsia="仿宋_GB2312" w:cs="仿宋_GB2312"/>
          <w:b/>
          <w:bCs/>
          <w:sz w:val="32"/>
          <w:szCs w:val="32"/>
        </w:rPr>
      </w:pPr>
      <w:r>
        <w:rPr>
          <w:rFonts w:hint="eastAsia" w:ascii="仿宋_GB2312" w:hAnsi="仿宋_GB2312" w:eastAsia="仿宋_GB2312" w:cs="仿宋_GB2312"/>
          <w:b/>
          <w:bCs/>
          <w:w w:val="96"/>
          <w:sz w:val="32"/>
          <w:szCs w:val="32"/>
        </w:rPr>
        <w:t>第二部分</w:t>
      </w:r>
      <w:r>
        <w:rPr>
          <w:rFonts w:hint="eastAsia" w:ascii="仿宋_GB2312" w:hAnsi="仿宋_GB2312" w:eastAsia="仿宋_GB2312" w:cs="仿宋_GB2312"/>
          <w:b/>
          <w:bCs/>
          <w:w w:val="96"/>
          <w:sz w:val="32"/>
          <w:szCs w:val="32"/>
          <w:lang w:val="en-US" w:eastAsia="zh-CN"/>
        </w:rPr>
        <w:t xml:space="preserve">  周口市川汇区妇幼保健计划生育服务中心</w:t>
      </w:r>
      <w:r>
        <w:rPr>
          <w:rFonts w:hint="eastAsia" w:ascii="仿宋_GB2312" w:hAnsi="仿宋_GB2312" w:eastAsia="仿宋_GB2312" w:cs="仿宋_GB2312"/>
          <w:b/>
          <w:bCs/>
          <w:w w:val="96"/>
          <w:sz w:val="32"/>
          <w:szCs w:val="32"/>
        </w:rPr>
        <w:t>202</w:t>
      </w:r>
      <w:r>
        <w:rPr>
          <w:rFonts w:hint="eastAsia" w:ascii="仿宋_GB2312" w:hAnsi="仿宋_GB2312" w:eastAsia="仿宋_GB2312" w:cs="仿宋_GB2312"/>
          <w:b/>
          <w:bCs/>
          <w:w w:val="96"/>
          <w:sz w:val="32"/>
          <w:szCs w:val="32"/>
          <w:lang w:val="en-US" w:eastAsia="zh-CN"/>
        </w:rPr>
        <w:t>4</w:t>
      </w:r>
      <w:r>
        <w:rPr>
          <w:rFonts w:hint="eastAsia" w:ascii="仿宋_GB2312" w:hAnsi="仿宋_GB2312" w:eastAsia="仿宋_GB2312" w:cs="仿宋_GB2312"/>
          <w:b/>
          <w:bCs/>
          <w:w w:val="96"/>
          <w:sz w:val="32"/>
          <w:szCs w:val="32"/>
        </w:rPr>
        <w:t>年部门预算情况说明</w:t>
      </w:r>
    </w:p>
    <w:p>
      <w:pPr>
        <w:kinsoku w:val="0"/>
        <w:overflowPunct w:val="0"/>
        <w:adjustRightInd w:val="0"/>
        <w:snapToGrid w:val="0"/>
        <w:spacing w:line="640" w:lineRule="exact"/>
        <w:ind w:firstLine="643" w:firstLineChars="200"/>
        <w:rPr>
          <w:rFonts w:ascii="仿宋_GB2312" w:hAnsi="仿宋_GB2312" w:eastAsia="仿宋_GB2312" w:cs="仿宋_GB2312"/>
          <w:b/>
          <w:bCs/>
          <w:sz w:val="32"/>
          <w:szCs w:val="32"/>
        </w:rPr>
      </w:pPr>
      <w:r>
        <w:rPr>
          <w:rFonts w:hint="eastAsia" w:ascii="仿宋_GB2312" w:hAnsi="仿宋_GB2312" w:eastAsia="仿宋_GB2312" w:cs="仿宋_GB2312"/>
          <w:b/>
          <w:bCs/>
          <w:sz w:val="32"/>
          <w:szCs w:val="32"/>
        </w:rPr>
        <w:t>第三部分 名词解释</w:t>
      </w:r>
    </w:p>
    <w:p>
      <w:pPr>
        <w:kinsoku w:val="0"/>
        <w:overflowPunct w:val="0"/>
        <w:adjustRightInd w:val="0"/>
        <w:snapToGrid w:val="0"/>
        <w:spacing w:line="640" w:lineRule="exact"/>
        <w:ind w:left="638" w:leftChars="304" w:firstLine="0" w:firstLineChars="0"/>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 xml:space="preserve">附件： </w:t>
      </w:r>
      <w:r>
        <w:rPr>
          <w:rFonts w:hint="eastAsia" w:ascii="仿宋_GB2312" w:hAnsi="仿宋_GB2312" w:eastAsia="仿宋_GB2312" w:cs="仿宋_GB2312"/>
          <w:sz w:val="32"/>
          <w:szCs w:val="32"/>
          <w:lang w:val="en-US" w:eastAsia="zh-CN"/>
        </w:rPr>
        <w:t>周口市川汇区妇幼保健计划生育服务中心</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年度部门预算表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一、部门收支总体情况表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二、部门收入总体情况表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三、部门支出总体情况表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四、财政拨款收支总体情况表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五、一般公共预算支出情况表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六、一般公共预算基本支出表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七、支出经济分类汇总表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八、一般公共预算“三公”经费支出情况表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九、政府性基金预算支出情况表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十、项目支出表</w:t>
      </w:r>
    </w:p>
    <w:p>
      <w:pPr>
        <w:kinsoku w:val="0"/>
        <w:overflowPunct w:val="0"/>
        <w:adjustRightInd w:val="0"/>
        <w:snapToGrid w:val="0"/>
        <w:spacing w:line="640" w:lineRule="exact"/>
        <w:ind w:firstLine="960" w:firstLineChars="300"/>
        <w:jc w:val="left"/>
        <w:rPr>
          <w:rFonts w:ascii="仿宋_GB2312" w:hAnsi="仿宋_GB2312" w:eastAsia="仿宋_GB2312" w:cs="仿宋_GB2312"/>
          <w:sz w:val="32"/>
          <w:szCs w:val="32"/>
        </w:rPr>
      </w:pPr>
      <w:r>
        <w:rPr>
          <w:rFonts w:hint="eastAsia" w:ascii="仿宋_GB2312" w:hAnsi="仿宋_GB2312" w:eastAsia="仿宋_GB2312" w:cs="仿宋_GB2312"/>
          <w:sz w:val="32"/>
          <w:szCs w:val="32"/>
        </w:rPr>
        <w:t>十一、部门（单位）整体绩效目标表</w:t>
      </w:r>
    </w:p>
    <w:p>
      <w:pPr>
        <w:kinsoku w:val="0"/>
        <w:overflowPunct w:val="0"/>
        <w:adjustRightInd w:val="0"/>
        <w:snapToGrid w:val="0"/>
        <w:spacing w:line="640" w:lineRule="exact"/>
        <w:ind w:firstLine="960" w:firstLineChars="300"/>
        <w:jc w:val="left"/>
        <w:rPr>
          <w:rFonts w:hint="eastAsia" w:ascii="仿宋_GB2312" w:hAnsi="仿宋_GB2312" w:eastAsia="仿宋_GB2312" w:cs="仿宋_GB2312"/>
          <w:sz w:val="32"/>
          <w:szCs w:val="32"/>
        </w:rPr>
      </w:pPr>
      <w:r>
        <w:rPr>
          <w:rFonts w:hint="eastAsia" w:ascii="仿宋_GB2312" w:hAnsi="仿宋_GB2312" w:eastAsia="仿宋_GB2312" w:cs="仿宋_GB2312"/>
          <w:sz w:val="32"/>
          <w:szCs w:val="32"/>
        </w:rPr>
        <w:t>十二、部门预算项目绩效目标汇总表</w:t>
      </w:r>
    </w:p>
    <w:p>
      <w:pPr>
        <w:adjustRightInd w:val="0"/>
        <w:snapToGrid w:val="0"/>
        <w:spacing w:line="640" w:lineRule="exact"/>
        <w:jc w:val="center"/>
        <w:rPr>
          <w:rFonts w:hint="eastAsia" w:ascii="方正小标宋简体" w:hAnsi="仿宋_GB2312" w:eastAsia="方正小标宋简体" w:cs="仿宋_GB2312"/>
          <w:bCs/>
          <w:sz w:val="44"/>
          <w:szCs w:val="44"/>
        </w:rPr>
      </w:pPr>
    </w:p>
    <w:p>
      <w:pPr>
        <w:adjustRightInd w:val="0"/>
        <w:snapToGrid w:val="0"/>
        <w:spacing w:line="640" w:lineRule="exact"/>
        <w:jc w:val="center"/>
        <w:rPr>
          <w:rFonts w:hint="eastAsia" w:ascii="方正小标宋简体" w:hAnsi="仿宋_GB2312" w:eastAsia="方正小标宋简体" w:cs="仿宋_GB2312"/>
          <w:bCs/>
          <w:sz w:val="44"/>
          <w:szCs w:val="44"/>
        </w:rPr>
      </w:pPr>
      <w:r>
        <w:rPr>
          <w:rFonts w:hint="eastAsia" w:ascii="方正小标宋简体" w:hAnsi="仿宋_GB2312" w:eastAsia="方正小标宋简体" w:cs="仿宋_GB2312"/>
          <w:bCs/>
          <w:sz w:val="44"/>
          <w:szCs w:val="44"/>
        </w:rPr>
        <w:t>第一部分</w:t>
      </w:r>
    </w:p>
    <w:p>
      <w:pPr>
        <w:adjustRightInd w:val="0"/>
        <w:snapToGrid w:val="0"/>
        <w:spacing w:line="640" w:lineRule="exact"/>
        <w:jc w:val="center"/>
        <w:rPr>
          <w:rFonts w:hint="eastAsia" w:ascii="方正小标宋简体" w:hAnsi="仿宋_GB2312" w:eastAsia="方正小标宋简体" w:cs="仿宋_GB2312"/>
          <w:bCs/>
          <w:sz w:val="44"/>
          <w:szCs w:val="44"/>
          <w:lang w:val="en-US" w:eastAsia="zh-CN"/>
        </w:rPr>
      </w:pPr>
      <w:r>
        <w:rPr>
          <w:rFonts w:hint="eastAsia" w:ascii="方正小标宋简体" w:hAnsi="仿宋_GB2312" w:eastAsia="方正小标宋简体" w:cs="仿宋_GB2312"/>
          <w:bCs/>
          <w:sz w:val="44"/>
          <w:szCs w:val="44"/>
          <w:lang w:val="en-US" w:eastAsia="zh-CN"/>
        </w:rPr>
        <w:t>周口市川汇区妇幼保健计划生育服务中心</w:t>
      </w:r>
    </w:p>
    <w:p>
      <w:pPr>
        <w:adjustRightInd w:val="0"/>
        <w:snapToGrid w:val="0"/>
        <w:spacing w:line="640" w:lineRule="exact"/>
        <w:jc w:val="center"/>
        <w:rPr>
          <w:rFonts w:hint="eastAsia" w:ascii="方正小标宋简体" w:hAnsi="仿宋_GB2312" w:eastAsia="方正小标宋简体" w:cs="仿宋_GB2312"/>
          <w:sz w:val="44"/>
          <w:szCs w:val="44"/>
        </w:rPr>
      </w:pPr>
      <w:r>
        <w:rPr>
          <w:rFonts w:hint="eastAsia" w:ascii="方正小标宋简体" w:hAnsi="仿宋_GB2312" w:eastAsia="方正小标宋简体" w:cs="仿宋_GB2312"/>
          <w:b w:val="0"/>
          <w:bCs/>
          <w:sz w:val="44"/>
          <w:szCs w:val="44"/>
        </w:rPr>
        <w:t>概况</w:t>
      </w:r>
    </w:p>
    <w:p>
      <w:pPr>
        <w:adjustRightInd w:val="0"/>
        <w:snapToGrid w:val="0"/>
        <w:spacing w:line="640" w:lineRule="exact"/>
        <w:ind w:firstLine="640" w:firstLineChars="200"/>
        <w:jc w:val="center"/>
        <w:rPr>
          <w:rFonts w:ascii="仿宋_GB2312" w:hAnsi="仿宋_GB2312" w:eastAsia="仿宋_GB2312" w:cs="仿宋_GB2312"/>
          <w:sz w:val="32"/>
          <w:szCs w:val="32"/>
        </w:rPr>
      </w:pPr>
    </w:p>
    <w:p>
      <w:pPr>
        <w:numPr>
          <w:ilvl w:val="0"/>
          <w:numId w:val="1"/>
        </w:numPr>
        <w:adjustRightInd w:val="0"/>
        <w:snapToGrid w:val="0"/>
        <w:spacing w:line="640" w:lineRule="exact"/>
        <w:ind w:left="0" w:firstLine="640"/>
        <w:outlineLvl w:val="0"/>
        <w:rPr>
          <w:rFonts w:ascii="黑体" w:hAnsi="仿宋_GB2312" w:eastAsia="黑体" w:cs="仿宋_GB2312"/>
          <w:sz w:val="32"/>
          <w:szCs w:val="32"/>
        </w:rPr>
      </w:pPr>
      <w:r>
        <w:rPr>
          <w:rFonts w:hint="eastAsia" w:ascii="黑体" w:hAnsi="仿宋_GB2312" w:eastAsia="黑体" w:cs="仿宋_GB2312"/>
          <w:sz w:val="32"/>
          <w:szCs w:val="32"/>
        </w:rPr>
        <w:t>主要职责</w:t>
      </w:r>
    </w:p>
    <w:p>
      <w:pPr>
        <w:kinsoku w:val="0"/>
        <w:overflowPunct w:val="0"/>
        <w:adjustRightInd w:val="0"/>
        <w:snapToGrid w:val="0"/>
        <w:spacing w:line="640" w:lineRule="exact"/>
        <w:ind w:firstLine="640" w:firstLineChars="200"/>
        <w:jc w:val="left"/>
        <w:rPr>
          <w:rFonts w:ascii="楷体_GB2312" w:hAnsi="仿宋_GB2312" w:eastAsia="楷体_GB2312" w:cs="仿宋_GB2312"/>
          <w:sz w:val="32"/>
          <w:szCs w:val="32"/>
        </w:rPr>
      </w:pPr>
      <w:r>
        <w:rPr>
          <w:rFonts w:hint="eastAsia" w:ascii="楷体_GB2312" w:hAnsi="仿宋_GB2312" w:eastAsia="楷体_GB2312" w:cs="仿宋_GB2312"/>
          <w:sz w:val="32"/>
          <w:szCs w:val="32"/>
        </w:rPr>
        <w:t>（一）机构设置情况</w:t>
      </w:r>
    </w:p>
    <w:p>
      <w:pPr>
        <w:kinsoku w:val="0"/>
        <w:overflowPunct w:val="0"/>
        <w:adjustRightInd w:val="0"/>
        <w:snapToGrid w:val="0"/>
        <w:spacing w:line="640" w:lineRule="exact"/>
        <w:ind w:firstLine="640" w:firstLineChars="200"/>
        <w:jc w:val="left"/>
        <w:rPr>
          <w:rFonts w:hint="default" w:ascii="仿宋" w:hAnsi="仿宋" w:eastAsia="仿宋" w:cs="仿宋"/>
          <w:color w:val="auto"/>
          <w:kern w:val="0"/>
          <w:sz w:val="32"/>
          <w:szCs w:val="32"/>
          <w:lang w:val="en-US" w:eastAsia="zh-CN"/>
        </w:rPr>
      </w:pPr>
      <w:r>
        <w:rPr>
          <w:rFonts w:hint="eastAsia" w:ascii="仿宋" w:hAnsi="仿宋" w:eastAsia="仿宋" w:cs="仿宋"/>
          <w:color w:val="auto"/>
          <w:kern w:val="0"/>
          <w:sz w:val="32"/>
          <w:szCs w:val="32"/>
          <w:lang w:val="en-US" w:eastAsia="zh-CN"/>
        </w:rPr>
        <w:t xml:space="preserve">   </w:t>
      </w:r>
      <w:r>
        <w:rPr>
          <w:rFonts w:hint="eastAsia" w:ascii="仿宋" w:hAnsi="仿宋" w:eastAsia="仿宋" w:cs="仿宋"/>
          <w:color w:val="auto"/>
          <w:kern w:val="0"/>
          <w:sz w:val="32"/>
          <w:szCs w:val="32"/>
        </w:rPr>
        <w:t>周口市川汇区妇幼保健院</w:t>
      </w:r>
      <w:r>
        <w:rPr>
          <w:rFonts w:hint="eastAsia" w:ascii="仿宋" w:hAnsi="仿宋" w:eastAsia="仿宋" w:cs="仿宋"/>
          <w:color w:val="auto"/>
          <w:kern w:val="0"/>
          <w:sz w:val="32"/>
          <w:szCs w:val="32"/>
          <w:lang w:val="en-US" w:eastAsia="zh-CN"/>
        </w:rPr>
        <w:t>（</w:t>
      </w:r>
      <w:r>
        <w:rPr>
          <w:rFonts w:hint="eastAsia" w:ascii="仿宋" w:hAnsi="仿宋" w:eastAsia="仿宋" w:cs="仿宋"/>
          <w:color w:val="auto"/>
          <w:kern w:val="0"/>
          <w:sz w:val="32"/>
          <w:szCs w:val="32"/>
          <w:lang w:val="en-US" w:eastAsia="zh-CN"/>
        </w:rPr>
        <w:t>周口市川汇区妇幼保健计划生育服务中心）</w:t>
      </w:r>
      <w:r>
        <w:rPr>
          <w:rFonts w:hint="eastAsia" w:ascii="仿宋" w:hAnsi="仿宋" w:eastAsia="仿宋" w:cs="仿宋"/>
          <w:color w:val="auto"/>
          <w:kern w:val="0"/>
          <w:sz w:val="32"/>
          <w:szCs w:val="32"/>
          <w:lang w:eastAsia="zh-CN"/>
        </w:rPr>
        <w:t>建院于</w:t>
      </w:r>
      <w:r>
        <w:rPr>
          <w:rFonts w:hint="eastAsia" w:ascii="仿宋" w:hAnsi="仿宋" w:eastAsia="仿宋" w:cs="仿宋"/>
          <w:color w:val="auto"/>
          <w:kern w:val="0"/>
          <w:sz w:val="32"/>
          <w:szCs w:val="32"/>
          <w:lang w:val="en-US" w:eastAsia="zh-CN"/>
        </w:rPr>
        <w:t>1953年，</w:t>
      </w:r>
      <w:r>
        <w:rPr>
          <w:rFonts w:hint="eastAsia" w:ascii="仿宋" w:hAnsi="仿宋" w:eastAsia="仿宋" w:cs="仿宋"/>
          <w:color w:val="auto"/>
          <w:kern w:val="0"/>
          <w:sz w:val="32"/>
          <w:szCs w:val="32"/>
        </w:rPr>
        <w:t>是一所集医疗、保健、教学、科研于一体的功能完善、业务全面、在豫东南具有一定规模</w:t>
      </w:r>
      <w:r>
        <w:rPr>
          <w:rFonts w:hint="eastAsia" w:ascii="仿宋" w:hAnsi="仿宋" w:eastAsia="仿宋" w:cs="仿宋"/>
          <w:color w:val="auto"/>
          <w:kern w:val="0"/>
          <w:sz w:val="32"/>
          <w:szCs w:val="32"/>
          <w:lang w:eastAsia="zh-CN"/>
        </w:rPr>
        <w:t>、由政府举办的公立</w:t>
      </w:r>
      <w:r>
        <w:rPr>
          <w:rFonts w:hint="eastAsia" w:ascii="仿宋" w:hAnsi="仿宋" w:eastAsia="仿宋" w:cs="仿宋"/>
          <w:color w:val="auto"/>
          <w:kern w:val="0"/>
          <w:sz w:val="32"/>
          <w:szCs w:val="32"/>
        </w:rPr>
        <w:t>妇幼保健和妇儿疾病诊断治疗的专</w:t>
      </w:r>
      <w:r>
        <w:rPr>
          <w:rFonts w:hint="eastAsia" w:ascii="仿宋" w:hAnsi="仿宋" w:eastAsia="仿宋" w:cs="仿宋"/>
          <w:color w:val="auto"/>
          <w:kern w:val="0"/>
          <w:sz w:val="32"/>
          <w:szCs w:val="32"/>
          <w:lang w:eastAsia="zh-CN"/>
        </w:rPr>
        <w:t>科</w:t>
      </w:r>
      <w:r>
        <w:rPr>
          <w:rFonts w:hint="eastAsia" w:ascii="仿宋" w:hAnsi="仿宋" w:eastAsia="仿宋" w:cs="仿宋"/>
          <w:color w:val="auto"/>
          <w:kern w:val="0"/>
          <w:sz w:val="32"/>
          <w:szCs w:val="32"/>
        </w:rPr>
        <w:t>医院。</w:t>
      </w:r>
      <w:r>
        <w:rPr>
          <w:rFonts w:hint="eastAsia" w:ascii="仿宋" w:hAnsi="仿宋" w:eastAsia="仿宋" w:cs="仿宋"/>
          <w:color w:val="auto"/>
          <w:kern w:val="0"/>
          <w:sz w:val="32"/>
          <w:szCs w:val="32"/>
          <w:lang w:val="en-US" w:eastAsia="zh-CN"/>
        </w:rPr>
        <w:t>设下列内设科室：</w:t>
      </w:r>
    </w:p>
    <w:p>
      <w:pPr>
        <w:numPr>
          <w:ilvl w:val="0"/>
          <w:numId w:val="0"/>
        </w:numPr>
        <w:kinsoku w:val="0"/>
        <w:overflowPunct w:val="0"/>
        <w:adjustRightInd w:val="0"/>
        <w:snapToGrid w:val="0"/>
        <w:spacing w:line="64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1.办公室；2.人事科；3.财务科；4.审计科；5.物价科；6.感控科；7.护理部；8.疾控科；9.医政科；10.信息科；11.药剂科；12.设备科；13.后勤科；14.党支部办公室；15.监察室；16.医患办公室；17宣教科；18.综合治理办公室；19.医保科；20.客服中心办公室；21.“两癌”“两筛”办公室；</w:t>
      </w:r>
    </w:p>
    <w:p>
      <w:pPr>
        <w:numPr>
          <w:ilvl w:val="0"/>
          <w:numId w:val="0"/>
        </w:numPr>
        <w:kinsoku w:val="0"/>
        <w:overflowPunct w:val="0"/>
        <w:adjustRightInd w:val="0"/>
        <w:snapToGrid w:val="0"/>
        <w:spacing w:line="640" w:lineRule="exact"/>
        <w:ind w:firstLine="640" w:firstLineChars="200"/>
        <w:jc w:val="left"/>
        <w:rPr>
          <w:rFonts w:hint="eastAsia" w:ascii="仿宋" w:hAnsi="仿宋" w:eastAsia="仿宋" w:cs="仿宋"/>
          <w:sz w:val="32"/>
          <w:szCs w:val="32"/>
          <w:lang w:val="en-US" w:eastAsia="zh-CN"/>
        </w:rPr>
      </w:pPr>
      <w:r>
        <w:rPr>
          <w:rFonts w:hint="eastAsia" w:ascii="仿宋" w:hAnsi="仿宋" w:eastAsia="仿宋" w:cs="仿宋"/>
          <w:color w:val="auto"/>
          <w:kern w:val="0"/>
          <w:sz w:val="32"/>
          <w:szCs w:val="32"/>
          <w:lang w:eastAsia="zh-CN"/>
        </w:rPr>
        <w:t>医</w:t>
      </w:r>
      <w:r>
        <w:rPr>
          <w:rFonts w:hint="eastAsia" w:ascii="仿宋" w:hAnsi="仿宋" w:eastAsia="仿宋" w:cs="仿宋"/>
          <w:color w:val="auto"/>
          <w:kern w:val="0"/>
          <w:sz w:val="32"/>
          <w:szCs w:val="32"/>
        </w:rPr>
        <w:t>院</w:t>
      </w:r>
      <w:r>
        <w:rPr>
          <w:rFonts w:hint="eastAsia" w:ascii="仿宋" w:hAnsi="仿宋" w:eastAsia="仿宋" w:cs="仿宋"/>
          <w:color w:val="auto"/>
          <w:kern w:val="0"/>
          <w:sz w:val="32"/>
          <w:szCs w:val="32"/>
          <w:lang w:eastAsia="zh-CN"/>
        </w:rPr>
        <w:t>业务管理分为孕产</w:t>
      </w:r>
      <w:r>
        <w:rPr>
          <w:rFonts w:hint="eastAsia" w:ascii="仿宋" w:hAnsi="仿宋" w:eastAsia="仿宋" w:cs="仿宋"/>
          <w:color w:val="auto"/>
          <w:kern w:val="0"/>
          <w:sz w:val="32"/>
          <w:szCs w:val="32"/>
        </w:rPr>
        <w:t>保健部、</w:t>
      </w:r>
      <w:r>
        <w:rPr>
          <w:rFonts w:hint="eastAsia" w:ascii="仿宋" w:hAnsi="仿宋" w:eastAsia="仿宋" w:cs="仿宋"/>
          <w:color w:val="auto"/>
          <w:kern w:val="0"/>
          <w:sz w:val="32"/>
          <w:szCs w:val="32"/>
          <w:lang w:eastAsia="zh-CN"/>
        </w:rPr>
        <w:t>妇女保健部、儿童保健部、计划生育技术服务部和医技中心。开设科室：</w:t>
      </w:r>
      <w:r>
        <w:rPr>
          <w:rFonts w:hint="eastAsia" w:ascii="仿宋" w:hAnsi="仿宋" w:eastAsia="仿宋" w:cs="仿宋"/>
          <w:color w:val="auto"/>
          <w:spacing w:val="8"/>
          <w:sz w:val="32"/>
          <w:szCs w:val="32"/>
        </w:rPr>
        <w:t>妇</w:t>
      </w:r>
      <w:r>
        <w:rPr>
          <w:rFonts w:hint="eastAsia" w:ascii="仿宋" w:hAnsi="仿宋" w:eastAsia="仿宋" w:cs="仿宋"/>
          <w:color w:val="auto"/>
          <w:spacing w:val="8"/>
          <w:sz w:val="32"/>
          <w:szCs w:val="32"/>
          <w:lang w:eastAsia="zh-CN"/>
        </w:rPr>
        <w:t>科、产</w:t>
      </w:r>
      <w:r>
        <w:rPr>
          <w:rFonts w:hint="eastAsia" w:ascii="仿宋" w:hAnsi="仿宋" w:eastAsia="仿宋" w:cs="仿宋"/>
          <w:color w:val="auto"/>
          <w:spacing w:val="8"/>
          <w:sz w:val="32"/>
          <w:szCs w:val="32"/>
        </w:rPr>
        <w:t>科、儿科、内科、小儿外科、肛肠科</w:t>
      </w:r>
      <w:r>
        <w:rPr>
          <w:rFonts w:hint="eastAsia" w:ascii="仿宋" w:hAnsi="仿宋" w:eastAsia="仿宋" w:cs="仿宋"/>
          <w:color w:val="auto"/>
          <w:spacing w:val="8"/>
          <w:sz w:val="32"/>
          <w:szCs w:val="32"/>
          <w:lang w:eastAsia="zh-CN"/>
        </w:rPr>
        <w:t>、</w:t>
      </w:r>
      <w:r>
        <w:rPr>
          <w:rFonts w:hint="eastAsia" w:ascii="仿宋" w:hAnsi="仿宋" w:eastAsia="仿宋" w:cs="仿宋"/>
          <w:color w:val="auto"/>
          <w:spacing w:val="8"/>
          <w:sz w:val="32"/>
          <w:szCs w:val="32"/>
        </w:rPr>
        <w:t>儿童保健科、</w:t>
      </w:r>
      <w:r>
        <w:rPr>
          <w:rFonts w:hint="eastAsia" w:ascii="仿宋" w:hAnsi="仿宋" w:eastAsia="仿宋" w:cs="仿宋"/>
          <w:color w:val="auto"/>
          <w:spacing w:val="8"/>
          <w:sz w:val="32"/>
          <w:szCs w:val="32"/>
          <w:lang w:eastAsia="zh-CN"/>
        </w:rPr>
        <w:t>孕</w:t>
      </w:r>
      <w:r>
        <w:rPr>
          <w:rFonts w:hint="eastAsia" w:ascii="仿宋" w:hAnsi="仿宋" w:eastAsia="仿宋" w:cs="仿宋"/>
          <w:color w:val="auto"/>
          <w:spacing w:val="8"/>
          <w:sz w:val="32"/>
          <w:szCs w:val="32"/>
        </w:rPr>
        <w:t>产期保健科、</w:t>
      </w:r>
      <w:r>
        <w:rPr>
          <w:rFonts w:hint="eastAsia" w:ascii="仿宋" w:hAnsi="仿宋" w:eastAsia="仿宋" w:cs="仿宋"/>
          <w:color w:val="auto"/>
          <w:spacing w:val="8"/>
          <w:sz w:val="32"/>
          <w:szCs w:val="32"/>
          <w:lang w:eastAsia="zh-CN"/>
        </w:rPr>
        <w:t>妇女</w:t>
      </w:r>
      <w:r>
        <w:rPr>
          <w:rFonts w:hint="eastAsia" w:ascii="仿宋" w:hAnsi="仿宋" w:eastAsia="仿宋" w:cs="仿宋"/>
          <w:color w:val="auto"/>
          <w:spacing w:val="8"/>
          <w:sz w:val="32"/>
          <w:szCs w:val="32"/>
        </w:rPr>
        <w:t>保健</w:t>
      </w:r>
      <w:r>
        <w:rPr>
          <w:rFonts w:hint="eastAsia" w:ascii="仿宋" w:hAnsi="仿宋" w:eastAsia="仿宋" w:cs="仿宋"/>
          <w:color w:val="auto"/>
          <w:spacing w:val="8"/>
          <w:sz w:val="32"/>
          <w:szCs w:val="32"/>
          <w:lang w:eastAsia="zh-CN"/>
        </w:rPr>
        <w:t>科</w:t>
      </w:r>
      <w:r>
        <w:rPr>
          <w:rFonts w:hint="eastAsia" w:ascii="仿宋" w:hAnsi="仿宋" w:eastAsia="仿宋" w:cs="仿宋"/>
          <w:color w:val="auto"/>
          <w:spacing w:val="8"/>
          <w:sz w:val="32"/>
          <w:szCs w:val="32"/>
        </w:rPr>
        <w:t>、</w:t>
      </w:r>
      <w:r>
        <w:rPr>
          <w:rFonts w:hint="eastAsia" w:ascii="仿宋" w:hAnsi="仿宋" w:eastAsia="仿宋" w:cs="仿宋"/>
          <w:color w:val="auto"/>
          <w:spacing w:val="8"/>
          <w:sz w:val="32"/>
          <w:szCs w:val="32"/>
          <w:lang w:eastAsia="zh-CN"/>
        </w:rPr>
        <w:t>乳腺科、不孕不育科、婚前检查科、孕前优生科、产后康复</w:t>
      </w:r>
      <w:r>
        <w:rPr>
          <w:rFonts w:hint="eastAsia" w:ascii="仿宋" w:hAnsi="仿宋" w:eastAsia="仿宋" w:cs="仿宋"/>
          <w:color w:val="auto"/>
          <w:spacing w:val="8"/>
          <w:sz w:val="32"/>
          <w:szCs w:val="32"/>
        </w:rPr>
        <w:t>等</w:t>
      </w:r>
      <w:r>
        <w:rPr>
          <w:rFonts w:hint="eastAsia" w:ascii="仿宋" w:hAnsi="仿宋" w:eastAsia="仿宋" w:cs="仿宋"/>
          <w:color w:val="auto"/>
          <w:spacing w:val="8"/>
          <w:sz w:val="32"/>
          <w:szCs w:val="32"/>
          <w:lang w:eastAsia="zh-CN"/>
        </w:rPr>
        <w:t>科室。</w:t>
      </w:r>
    </w:p>
    <w:p>
      <w:pPr>
        <w:kinsoku w:val="0"/>
        <w:overflowPunct w:val="0"/>
        <w:adjustRightInd w:val="0"/>
        <w:snapToGrid w:val="0"/>
        <w:spacing w:line="640" w:lineRule="exact"/>
        <w:ind w:firstLine="640" w:firstLineChars="200"/>
        <w:jc w:val="left"/>
        <w:rPr>
          <w:rFonts w:ascii="楷体_GB2312" w:hAnsi="仿宋_GB2312" w:eastAsia="楷体_GB2312" w:cs="仿宋_GB2312"/>
          <w:sz w:val="32"/>
          <w:szCs w:val="32"/>
        </w:rPr>
      </w:pPr>
      <w:r>
        <w:rPr>
          <w:rFonts w:hint="eastAsia" w:ascii="楷体_GB2312" w:hAnsi="仿宋_GB2312" w:eastAsia="楷体_GB2312" w:cs="仿宋_GB2312"/>
          <w:sz w:val="32"/>
          <w:szCs w:val="32"/>
        </w:rPr>
        <w:t>（二）部门职责</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1、切实履行公共卫生职责，开展与妇女儿童健康密切相关的基本医疗服务。</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2、完成各级政府和卫生行政部门下达的指令性任务。</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3、掌握本辖区妇女儿童健康状况及影响因素，协助卫生行政部门制定本辖区妇幼卫生工作的相关政策、技术规范及各项规章制度。</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4、受卫生行政部门委托对本辖区各级各类医疗保健机构开展的妇幼卫生服务进行检查、考核与评价。</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5、负责指导和开展本辖区的妇幼保健健康教育与健康促进工作；组织实施本辖区母婴保健技术培训，对基层医疗保健机构开展业务指导，并提供技术支持。</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6、负责本辖区孕产妇死亡、婴儿及 5 岁以下儿童死亡、出生缺陷监测、妇幼卫生服务及技术管理等信息的收集、统计、分析、质量控制和汇总上报。</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7、开展妇女保健服务，包括青春期保健、婚前和孕前保健、孕产期保健、更年期保健、老年期保健。重点加强心理卫生咨询、营养指导、计划生育技术服务、生殖道感染/性传播疾病等妇女常见病防治。</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8、开展儿童保健服务，包括胎儿期、新生儿期、婴幼儿期、学龄前期及学龄期保健，受卫生行政部门委托对托幼园所卫生保健进行管理和业务指导。重点加强儿童早期综合发展、营养与喂养指导、生长发育监测、心理行为咨询、儿童疾病综合管理等儿童保健服务。</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9、开展妇幼卫生、生殖健康的应用性科学研究并组织推广适宜技术。</w:t>
      </w:r>
    </w:p>
    <w:p>
      <w:pPr>
        <w:ind w:firstLine="640" w:firstLineChars="200"/>
        <w:rPr>
          <w:rFonts w:hint="eastAsia" w:ascii="仿宋" w:hAnsi="仿宋" w:eastAsia="仿宋" w:cs="仿宋"/>
          <w:sz w:val="32"/>
          <w:szCs w:val="32"/>
          <w:lang w:eastAsia="zh-CN"/>
        </w:rPr>
      </w:pPr>
      <w:r>
        <w:rPr>
          <w:rFonts w:hint="eastAsia" w:ascii="仿宋" w:hAnsi="仿宋" w:eastAsia="仿宋" w:cs="仿宋"/>
          <w:sz w:val="32"/>
          <w:szCs w:val="32"/>
          <w:lang w:eastAsia="zh-CN"/>
        </w:rPr>
        <w:t>10、提供以下基本医疗服务，包括妇女儿童常见疾病诊治、计划生育技术服务、产前筛查、新生儿疾病筛查、助产技术服务、产前诊断、产科并发症处理、新生儿危重症抢救和治疗等。</w:t>
      </w: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ascii="楷体_GB2312" w:hAnsi="仿宋_GB2312" w:eastAsia="楷体_GB2312" w:cs="仿宋_GB2312"/>
          <w:sz w:val="32"/>
          <w:szCs w:val="32"/>
        </w:rPr>
      </w:pPr>
      <w:r>
        <w:rPr>
          <w:rFonts w:hint="eastAsia" w:ascii="仿宋" w:hAnsi="仿宋" w:eastAsia="仿宋" w:cs="仿宋"/>
          <w:sz w:val="32"/>
          <w:szCs w:val="32"/>
          <w:lang w:val="en-US" w:eastAsia="zh-CN"/>
        </w:rPr>
        <w:t>11、完成区卫健委交办的其他任务。</w:t>
      </w:r>
    </w:p>
    <w:p>
      <w:pPr>
        <w:adjustRightInd w:val="0"/>
        <w:snapToGrid w:val="0"/>
        <w:spacing w:line="640" w:lineRule="exact"/>
        <w:ind w:firstLine="640" w:firstLineChars="200"/>
        <w:rPr>
          <w:rFonts w:ascii="黑体" w:hAnsi="仿宋_GB2312" w:eastAsia="黑体" w:cs="仿宋_GB2312"/>
          <w:sz w:val="32"/>
          <w:szCs w:val="32"/>
        </w:rPr>
      </w:pPr>
      <w:r>
        <w:rPr>
          <w:rFonts w:hint="eastAsia" w:ascii="黑体" w:hAnsi="黑体" w:eastAsia="黑体"/>
          <w:sz w:val="32"/>
          <w:szCs w:val="32"/>
        </w:rPr>
        <w:t>二、</w:t>
      </w:r>
      <w:r>
        <w:rPr>
          <w:rFonts w:hint="eastAsia" w:ascii="黑体" w:hAnsi="黑体" w:eastAsia="黑体"/>
          <w:sz w:val="32"/>
          <w:szCs w:val="32"/>
          <w:lang w:val="en-US" w:eastAsia="zh-CN"/>
        </w:rPr>
        <w:t>周</w:t>
      </w:r>
      <w:r>
        <w:rPr>
          <w:rFonts w:hint="eastAsia" w:ascii="黑体" w:hAnsi="黑体" w:eastAsia="黑体"/>
          <w:sz w:val="32"/>
          <w:szCs w:val="32"/>
          <w:lang w:val="en-US" w:eastAsia="zh-CN"/>
        </w:rPr>
        <w:t>口市川汇区妇幼保健计划生育服务中心</w:t>
      </w:r>
      <w:r>
        <w:rPr>
          <w:rFonts w:hint="eastAsia" w:ascii="黑体" w:hAnsi="黑体" w:eastAsia="黑体"/>
          <w:sz w:val="32"/>
          <w:szCs w:val="32"/>
        </w:rPr>
        <w:t>所属预算单位构成情况</w:t>
      </w: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周口市川汇区妇幼保健计划生育服务中心预算为本级预算的汇总预算。</w:t>
      </w: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keepNext w:val="0"/>
        <w:keepLines w:val="0"/>
        <w:pageBreakBefore w:val="0"/>
        <w:kinsoku/>
        <w:wordWrap w:val="0"/>
        <w:overflowPunct/>
        <w:topLinePunct w:val="0"/>
        <w:autoSpaceDE/>
        <w:autoSpaceDN/>
        <w:bidi w:val="0"/>
        <w:adjustRightInd/>
        <w:snapToGrid/>
        <w:spacing w:after="0" w:line="560" w:lineRule="exact"/>
        <w:ind w:left="0" w:leftChars="0" w:right="0" w:firstLine="640" w:firstLineChars="200"/>
        <w:textAlignment w:val="auto"/>
        <w:rPr>
          <w:rFonts w:hint="eastAsia" w:ascii="仿宋" w:hAnsi="仿宋" w:eastAsia="仿宋" w:cs="仿宋"/>
          <w:sz w:val="32"/>
          <w:szCs w:val="32"/>
          <w:lang w:val="en-US" w:eastAsia="zh-CN"/>
        </w:rPr>
      </w:pPr>
    </w:p>
    <w:p>
      <w:pPr>
        <w:widowControl/>
        <w:shd w:val="clear" w:color="auto" w:fill="FFFFFF"/>
        <w:spacing w:line="640" w:lineRule="exact"/>
        <w:jc w:val="center"/>
        <w:rPr>
          <w:rFonts w:hint="eastAsia" w:ascii="方正小标宋简体" w:hAnsi="仿宋_GB2312" w:eastAsia="方正小标宋简体" w:cs="仿宋_GB2312"/>
          <w:bCs/>
          <w:sz w:val="44"/>
          <w:szCs w:val="44"/>
        </w:rPr>
      </w:pPr>
      <w:r>
        <w:rPr>
          <w:rFonts w:hint="eastAsia" w:ascii="方正小标宋简体" w:hAnsi="仿宋_GB2312" w:eastAsia="方正小标宋简体" w:cs="仿宋_GB2312"/>
          <w:bCs/>
          <w:sz w:val="44"/>
          <w:szCs w:val="44"/>
        </w:rPr>
        <w:t>第二部分</w:t>
      </w:r>
    </w:p>
    <w:p>
      <w:pPr>
        <w:widowControl/>
        <w:shd w:val="clear" w:color="auto" w:fill="FFFFFF"/>
        <w:spacing w:line="640" w:lineRule="exact"/>
        <w:jc w:val="center"/>
        <w:rPr>
          <w:rFonts w:hint="eastAsia" w:ascii="方正小标宋简体" w:hAnsi="仿宋_GB2312" w:eastAsia="方正小标宋简体" w:cs="仿宋_GB2312"/>
          <w:bCs/>
          <w:w w:val="88"/>
          <w:sz w:val="44"/>
          <w:szCs w:val="44"/>
          <w:lang w:val="en-US" w:eastAsia="zh-CN"/>
        </w:rPr>
      </w:pPr>
      <w:r>
        <w:rPr>
          <w:rFonts w:hint="eastAsia" w:ascii="方正小标宋简体" w:hAnsi="仿宋_GB2312" w:eastAsia="方正小标宋简体" w:cs="仿宋_GB2312"/>
          <w:bCs/>
          <w:w w:val="88"/>
          <w:sz w:val="44"/>
          <w:szCs w:val="44"/>
          <w:lang w:val="en-US" w:eastAsia="zh-CN"/>
        </w:rPr>
        <w:t>周口市川汇区妇幼保健计划生育服务中心</w:t>
      </w:r>
    </w:p>
    <w:p>
      <w:pPr>
        <w:widowControl/>
        <w:shd w:val="clear" w:color="auto" w:fill="FFFFFF"/>
        <w:spacing w:line="640" w:lineRule="exact"/>
        <w:jc w:val="center"/>
        <w:rPr>
          <w:rFonts w:hint="eastAsia" w:ascii="方正小标宋简体" w:hAnsi="仿宋_GB2312" w:eastAsia="方正小标宋简体" w:cs="仿宋_GB2312"/>
          <w:bCs/>
          <w:w w:val="88"/>
          <w:sz w:val="44"/>
          <w:szCs w:val="44"/>
        </w:rPr>
      </w:pPr>
      <w:r>
        <w:rPr>
          <w:rFonts w:hint="eastAsia" w:ascii="方正小标宋简体" w:hAnsi="仿宋_GB2312" w:eastAsia="方正小标宋简体" w:cs="仿宋_GB2312"/>
          <w:bCs/>
          <w:w w:val="88"/>
          <w:sz w:val="44"/>
          <w:szCs w:val="44"/>
        </w:rPr>
        <w:t>202</w:t>
      </w:r>
      <w:r>
        <w:rPr>
          <w:rFonts w:hint="eastAsia" w:ascii="方正小标宋简体" w:hAnsi="仿宋_GB2312" w:eastAsia="方正小标宋简体" w:cs="仿宋_GB2312"/>
          <w:bCs/>
          <w:w w:val="88"/>
          <w:sz w:val="44"/>
          <w:szCs w:val="44"/>
          <w:lang w:val="en-US" w:eastAsia="zh-CN"/>
        </w:rPr>
        <w:t>4</w:t>
      </w:r>
      <w:r>
        <w:rPr>
          <w:rFonts w:hint="eastAsia" w:ascii="方正小标宋简体" w:hAnsi="仿宋_GB2312" w:eastAsia="方正小标宋简体" w:cs="仿宋_GB2312"/>
          <w:bCs/>
          <w:w w:val="88"/>
          <w:sz w:val="44"/>
          <w:szCs w:val="44"/>
        </w:rPr>
        <w:t>年度部门预算</w:t>
      </w:r>
    </w:p>
    <w:p>
      <w:pPr>
        <w:widowControl/>
        <w:shd w:val="clear" w:color="auto" w:fill="FFFFFF"/>
        <w:spacing w:line="640" w:lineRule="exact"/>
        <w:jc w:val="center"/>
        <w:rPr>
          <w:rFonts w:hint="eastAsia" w:ascii="方正小标宋简体" w:hAnsi="仿宋_GB2312" w:eastAsia="方正小标宋简体" w:cs="仿宋_GB2312"/>
          <w:bCs/>
          <w:sz w:val="44"/>
          <w:szCs w:val="44"/>
        </w:rPr>
      </w:pPr>
      <w:r>
        <w:rPr>
          <w:rFonts w:hint="eastAsia" w:ascii="方正小标宋简体" w:hAnsi="仿宋_GB2312" w:eastAsia="方正小标宋简体" w:cs="仿宋_GB2312"/>
          <w:bCs/>
          <w:w w:val="88"/>
          <w:sz w:val="44"/>
          <w:szCs w:val="44"/>
        </w:rPr>
        <w:t>情况说明</w:t>
      </w:r>
    </w:p>
    <w:p>
      <w:pPr>
        <w:adjustRightInd w:val="0"/>
        <w:snapToGrid w:val="0"/>
        <w:spacing w:line="640" w:lineRule="exact"/>
        <w:ind w:firstLine="640" w:firstLineChars="200"/>
        <w:outlineLvl w:val="0"/>
        <w:rPr>
          <w:rFonts w:ascii="仿宋_GB2312" w:hAnsi="仿宋_GB2312" w:eastAsia="仿宋_GB2312" w:cs="仿宋_GB2312"/>
          <w:sz w:val="32"/>
          <w:szCs w:val="32"/>
        </w:rPr>
      </w:pPr>
    </w:p>
    <w:p>
      <w:pPr>
        <w:adjustRightInd w:val="0"/>
        <w:snapToGrid w:val="0"/>
        <w:spacing w:line="640" w:lineRule="exact"/>
        <w:ind w:firstLine="640" w:firstLineChars="200"/>
        <w:outlineLvl w:val="0"/>
        <w:rPr>
          <w:rFonts w:ascii="黑体" w:hAnsi="黑体" w:eastAsia="黑体"/>
          <w:sz w:val="32"/>
          <w:szCs w:val="32"/>
        </w:rPr>
      </w:pPr>
      <w:r>
        <w:rPr>
          <w:rFonts w:hint="eastAsia" w:ascii="黑体" w:hAnsi="黑体" w:eastAsia="黑体"/>
          <w:sz w:val="32"/>
          <w:szCs w:val="32"/>
        </w:rPr>
        <w:t>一、收入支出预算总体情况说明</w:t>
      </w:r>
    </w:p>
    <w:p>
      <w:pPr>
        <w:adjustRightInd w:val="0"/>
        <w:snapToGrid w:val="0"/>
        <w:spacing w:line="640" w:lineRule="exact"/>
        <w:ind w:firstLine="632" w:firstLineChars="200"/>
        <w:rPr>
          <w:rFonts w:ascii="Arial" w:hAnsi="Arial" w:eastAsia="仿宋_GB2312" w:cs="Arial"/>
          <w:sz w:val="32"/>
          <w:szCs w:val="32"/>
        </w:rPr>
      </w:pPr>
      <w:r>
        <w:rPr>
          <w:rFonts w:hint="eastAsia" w:ascii="仿宋" w:hAnsi="仿宋" w:eastAsia="仿宋" w:cs="仿宋"/>
          <w:spacing w:val="-2"/>
          <w:sz w:val="32"/>
          <w:szCs w:val="32"/>
          <w:lang w:val="en-US" w:eastAsia="zh-CN"/>
        </w:rPr>
        <w:t>周口市川汇区妇幼保健计划生育服务中心</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年收入总计</w:t>
      </w:r>
      <w:r>
        <w:rPr>
          <w:rFonts w:hint="eastAsia" w:ascii="仿宋" w:hAnsi="仿宋" w:eastAsia="仿宋" w:cs="仿宋"/>
          <w:spacing w:val="-2"/>
          <w:sz w:val="32"/>
          <w:szCs w:val="32"/>
          <w:lang w:val="en-US" w:eastAsia="zh-CN"/>
        </w:rPr>
        <w:t>737.2</w:t>
      </w:r>
      <w:r>
        <w:rPr>
          <w:rFonts w:hint="eastAsia" w:ascii="仿宋" w:hAnsi="仿宋" w:eastAsia="仿宋" w:cs="仿宋"/>
          <w:spacing w:val="-2"/>
          <w:sz w:val="32"/>
          <w:szCs w:val="32"/>
        </w:rPr>
        <w:t>万元，支出总计</w:t>
      </w:r>
      <w:r>
        <w:rPr>
          <w:rFonts w:hint="eastAsia" w:ascii="仿宋" w:hAnsi="仿宋" w:eastAsia="仿宋" w:cs="仿宋"/>
          <w:spacing w:val="-2"/>
          <w:sz w:val="32"/>
          <w:szCs w:val="32"/>
          <w:lang w:val="en-US" w:eastAsia="zh-CN"/>
        </w:rPr>
        <w:t>737.2</w:t>
      </w:r>
      <w:r>
        <w:rPr>
          <w:rFonts w:hint="eastAsia" w:ascii="仿宋" w:hAnsi="仿宋" w:eastAsia="仿宋" w:cs="仿宋"/>
          <w:spacing w:val="-2"/>
          <w:sz w:val="32"/>
          <w:szCs w:val="32"/>
        </w:rPr>
        <w:t xml:space="preserve">万元。 </w:t>
      </w:r>
      <w:r>
        <w:rPr>
          <w:rFonts w:hint="eastAsia" w:ascii="Arial" w:hAnsi="Arial" w:eastAsia="仿宋_GB2312" w:cs="Arial"/>
          <w:sz w:val="32"/>
          <w:szCs w:val="32"/>
        </w:rPr>
        <w:t xml:space="preserve"> </w:t>
      </w:r>
    </w:p>
    <w:p>
      <w:pPr>
        <w:adjustRightInd w:val="0"/>
        <w:snapToGrid w:val="0"/>
        <w:spacing w:line="640" w:lineRule="exact"/>
        <w:ind w:firstLine="640" w:firstLineChars="200"/>
        <w:rPr>
          <w:rFonts w:ascii="黑体" w:hAnsi="黑体" w:eastAsia="黑体"/>
          <w:sz w:val="32"/>
          <w:szCs w:val="32"/>
        </w:rPr>
      </w:pPr>
      <w:r>
        <w:rPr>
          <w:rFonts w:hint="eastAsia" w:ascii="黑体" w:hAnsi="黑体" w:eastAsia="黑体"/>
          <w:sz w:val="32"/>
          <w:szCs w:val="32"/>
        </w:rPr>
        <w:t>二、收入预算总体情况说明</w:t>
      </w:r>
    </w:p>
    <w:p>
      <w:pPr>
        <w:widowControl/>
        <w:shd w:val="clear" w:color="auto" w:fill="FFFFFF"/>
        <w:spacing w:line="640" w:lineRule="exact"/>
        <w:ind w:firstLine="640"/>
        <w:rPr>
          <w:rFonts w:ascii="仿宋_GB2312" w:hAnsi="仿宋_GB2312" w:eastAsia="仿宋_GB2312" w:cs="仿宋_GB2312"/>
          <w:sz w:val="32"/>
          <w:szCs w:val="32"/>
        </w:rPr>
      </w:pPr>
      <w:r>
        <w:rPr>
          <w:rFonts w:hint="eastAsia" w:ascii="仿宋" w:hAnsi="仿宋" w:eastAsia="仿宋" w:cs="仿宋"/>
          <w:spacing w:val="-2"/>
          <w:sz w:val="32"/>
          <w:szCs w:val="32"/>
          <w:lang w:val="en-US" w:eastAsia="zh-CN"/>
        </w:rPr>
        <w:t>周口市川汇区妇幼保健计划生育服务中心</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年收入合计</w:t>
      </w:r>
      <w:r>
        <w:rPr>
          <w:rFonts w:hint="eastAsia" w:ascii="仿宋" w:hAnsi="仿宋" w:eastAsia="仿宋" w:cs="仿宋"/>
          <w:spacing w:val="-2"/>
          <w:sz w:val="32"/>
          <w:szCs w:val="32"/>
          <w:lang w:val="en-US" w:eastAsia="zh-CN"/>
        </w:rPr>
        <w:t>737.2</w:t>
      </w:r>
      <w:r>
        <w:rPr>
          <w:rFonts w:hint="eastAsia" w:ascii="仿宋" w:hAnsi="仿宋" w:eastAsia="仿宋" w:cs="仿宋"/>
          <w:spacing w:val="-2"/>
          <w:sz w:val="32"/>
          <w:szCs w:val="32"/>
        </w:rPr>
        <w:t>万元。</w:t>
      </w:r>
      <w:r>
        <w:rPr>
          <w:rFonts w:hint="eastAsia" w:ascii="仿宋_GB2312" w:hAnsi="仿宋_GB2312" w:eastAsia="仿宋_GB2312" w:cs="仿宋_GB2312"/>
          <w:sz w:val="32"/>
          <w:szCs w:val="32"/>
        </w:rPr>
        <w:t xml:space="preserve"> </w:t>
      </w:r>
    </w:p>
    <w:p>
      <w:pPr>
        <w:spacing w:line="640" w:lineRule="exact"/>
        <w:ind w:firstLine="640" w:firstLineChars="200"/>
        <w:outlineLvl w:val="0"/>
        <w:rPr>
          <w:rFonts w:ascii="仿宋_GB2312" w:hAnsi="仿宋_GB2312" w:eastAsia="仿宋_GB2312" w:cs="仿宋_GB2312"/>
          <w:sz w:val="32"/>
          <w:szCs w:val="32"/>
        </w:rPr>
      </w:pPr>
      <w:r>
        <w:rPr>
          <w:rFonts w:hint="eastAsia" w:ascii="黑体" w:hAnsi="黑体" w:eastAsia="黑体"/>
          <w:sz w:val="32"/>
          <w:szCs w:val="32"/>
        </w:rPr>
        <w:t>三、支出预算总体情况说明</w:t>
      </w:r>
    </w:p>
    <w:p>
      <w:pPr>
        <w:spacing w:line="640" w:lineRule="exact"/>
        <w:ind w:firstLine="632" w:firstLineChars="200"/>
        <w:rPr>
          <w:rFonts w:ascii="仿宋_GB2312" w:hAnsi="仿宋_GB2312" w:eastAsia="仿宋_GB2312" w:cs="仿宋_GB2312"/>
          <w:sz w:val="32"/>
          <w:szCs w:val="32"/>
        </w:rPr>
      </w:pPr>
      <w:r>
        <w:rPr>
          <w:rFonts w:hint="eastAsia" w:ascii="仿宋" w:hAnsi="仿宋" w:eastAsia="仿宋" w:cs="仿宋"/>
          <w:spacing w:val="-2"/>
          <w:sz w:val="32"/>
          <w:szCs w:val="32"/>
          <w:lang w:val="en-US" w:eastAsia="zh-CN"/>
        </w:rPr>
        <w:t>周口市川汇区妇幼保健计划生育服务中心</w:t>
      </w:r>
      <w:r>
        <w:rPr>
          <w:rFonts w:hint="eastAsia" w:ascii="仿宋" w:hAnsi="仿宋" w:eastAsia="仿宋" w:cs="仿宋"/>
          <w:spacing w:val="-2"/>
          <w:sz w:val="32"/>
          <w:szCs w:val="32"/>
        </w:rPr>
        <w:t>20</w:t>
      </w:r>
      <w:r>
        <w:rPr>
          <w:rFonts w:hint="eastAsia" w:ascii="仿宋" w:hAnsi="仿宋" w:eastAsia="仿宋" w:cs="仿宋"/>
          <w:spacing w:val="-2"/>
          <w:sz w:val="32"/>
          <w:szCs w:val="32"/>
          <w:lang w:val="en-US" w:eastAsia="zh-CN"/>
        </w:rPr>
        <w:t>24</w:t>
      </w:r>
      <w:r>
        <w:rPr>
          <w:rFonts w:hint="eastAsia" w:ascii="仿宋" w:hAnsi="仿宋" w:eastAsia="仿宋" w:cs="仿宋"/>
          <w:spacing w:val="-2"/>
          <w:sz w:val="32"/>
          <w:szCs w:val="32"/>
        </w:rPr>
        <w:t>年支出合计</w:t>
      </w:r>
      <w:r>
        <w:rPr>
          <w:rFonts w:hint="eastAsia" w:ascii="仿宋" w:hAnsi="仿宋" w:eastAsia="仿宋" w:cs="仿宋"/>
          <w:spacing w:val="-2"/>
          <w:sz w:val="32"/>
          <w:szCs w:val="32"/>
          <w:lang w:val="en-US" w:eastAsia="zh-CN"/>
        </w:rPr>
        <w:t>737.2</w:t>
      </w:r>
      <w:r>
        <w:rPr>
          <w:rFonts w:hint="eastAsia" w:ascii="仿宋" w:hAnsi="仿宋" w:eastAsia="仿宋" w:cs="仿宋"/>
          <w:spacing w:val="-2"/>
          <w:sz w:val="32"/>
          <w:szCs w:val="32"/>
        </w:rPr>
        <w:t>万元，其中：基本支出</w:t>
      </w:r>
      <w:r>
        <w:rPr>
          <w:rFonts w:hint="eastAsia" w:ascii="仿宋" w:hAnsi="仿宋" w:eastAsia="仿宋" w:cs="仿宋"/>
          <w:spacing w:val="-2"/>
          <w:sz w:val="32"/>
          <w:szCs w:val="32"/>
          <w:lang w:val="en-US" w:eastAsia="zh-CN"/>
        </w:rPr>
        <w:t>737.2</w:t>
      </w:r>
      <w:r>
        <w:rPr>
          <w:rFonts w:hint="eastAsia" w:ascii="仿宋" w:hAnsi="仿宋" w:eastAsia="仿宋" w:cs="仿宋"/>
          <w:spacing w:val="-2"/>
          <w:sz w:val="32"/>
          <w:szCs w:val="32"/>
        </w:rPr>
        <w:t>万元，占</w:t>
      </w:r>
      <w:r>
        <w:rPr>
          <w:rFonts w:hint="eastAsia" w:ascii="仿宋" w:hAnsi="仿宋" w:eastAsia="仿宋" w:cs="仿宋"/>
          <w:spacing w:val="-2"/>
          <w:sz w:val="32"/>
          <w:szCs w:val="32"/>
          <w:lang w:val="en-US" w:eastAsia="zh-CN"/>
        </w:rPr>
        <w:t>100</w:t>
      </w:r>
      <w:r>
        <w:rPr>
          <w:rFonts w:hint="eastAsia" w:ascii="仿宋" w:hAnsi="仿宋" w:eastAsia="仿宋" w:cs="仿宋"/>
          <w:spacing w:val="-2"/>
          <w:sz w:val="32"/>
          <w:szCs w:val="32"/>
        </w:rPr>
        <w:t>%。</w:t>
      </w:r>
      <w:r>
        <w:rPr>
          <w:rFonts w:hint="eastAsia" w:ascii="仿宋_GB2312" w:hAnsi="仿宋_GB2312" w:eastAsia="仿宋_GB2312" w:cs="仿宋_GB2312"/>
          <w:sz w:val="32"/>
          <w:szCs w:val="32"/>
        </w:rPr>
        <w:t xml:space="preserve"> </w:t>
      </w:r>
    </w:p>
    <w:p>
      <w:pPr>
        <w:spacing w:line="640" w:lineRule="exact"/>
        <w:ind w:firstLine="640" w:firstLineChars="200"/>
        <w:outlineLvl w:val="0"/>
        <w:rPr>
          <w:rFonts w:ascii="黑体" w:hAnsi="黑体" w:eastAsia="黑体"/>
          <w:sz w:val="32"/>
          <w:szCs w:val="32"/>
        </w:rPr>
      </w:pPr>
      <w:r>
        <w:rPr>
          <w:rFonts w:hint="eastAsia" w:ascii="黑体" w:hAnsi="黑体" w:eastAsia="黑体"/>
          <w:sz w:val="32"/>
          <w:szCs w:val="32"/>
        </w:rPr>
        <w:t>四、财政拨款收入支出预算总体情况说明</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周口市川汇区妇幼保健计划生育服务中心</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年一般公共预算收支预算</w:t>
      </w:r>
      <w:r>
        <w:rPr>
          <w:rFonts w:hint="eastAsia" w:ascii="仿宋" w:hAnsi="仿宋" w:eastAsia="仿宋" w:cs="仿宋"/>
          <w:spacing w:val="-2"/>
          <w:sz w:val="32"/>
          <w:szCs w:val="32"/>
          <w:lang w:val="en-US" w:eastAsia="zh-CN"/>
        </w:rPr>
        <w:t>737.2</w:t>
      </w:r>
      <w:r>
        <w:rPr>
          <w:rFonts w:hint="eastAsia" w:ascii="仿宋" w:hAnsi="仿宋" w:eastAsia="仿宋" w:cs="仿宋"/>
          <w:spacing w:val="-2"/>
          <w:sz w:val="32"/>
          <w:szCs w:val="32"/>
        </w:rPr>
        <w:t>万元</w:t>
      </w:r>
      <w:r>
        <w:rPr>
          <w:rFonts w:hint="eastAsia" w:ascii="仿宋" w:hAnsi="仿宋" w:eastAsia="仿宋" w:cs="仿宋"/>
          <w:spacing w:val="-2"/>
          <w:sz w:val="32"/>
          <w:szCs w:val="32"/>
          <w:lang w:eastAsia="zh-CN"/>
        </w:rPr>
        <w:t>，</w:t>
      </w:r>
      <w:r>
        <w:rPr>
          <w:rFonts w:hint="eastAsia" w:ascii="仿宋" w:hAnsi="仿宋" w:eastAsia="仿宋" w:cs="仿宋"/>
          <w:spacing w:val="-2"/>
          <w:sz w:val="32"/>
          <w:szCs w:val="32"/>
        </w:rPr>
        <w:t>政府性基金收支预算</w:t>
      </w:r>
      <w:r>
        <w:rPr>
          <w:rFonts w:hint="eastAsia" w:ascii="仿宋" w:hAnsi="仿宋" w:eastAsia="仿宋" w:cs="仿宋"/>
          <w:spacing w:val="-2"/>
          <w:sz w:val="32"/>
          <w:szCs w:val="32"/>
          <w:lang w:val="en-US" w:eastAsia="zh-CN"/>
        </w:rPr>
        <w:t>0</w:t>
      </w:r>
      <w:r>
        <w:rPr>
          <w:rFonts w:hint="eastAsia" w:ascii="仿宋" w:hAnsi="仿宋" w:eastAsia="仿宋" w:cs="仿宋"/>
          <w:spacing w:val="-2"/>
          <w:sz w:val="32"/>
          <w:szCs w:val="32"/>
        </w:rPr>
        <w:t>万元</w:t>
      </w:r>
      <w:r>
        <w:rPr>
          <w:rFonts w:hint="eastAsia" w:ascii="仿宋" w:hAnsi="仿宋" w:eastAsia="仿宋" w:cs="仿宋"/>
          <w:spacing w:val="-2"/>
          <w:sz w:val="32"/>
          <w:szCs w:val="32"/>
          <w:lang w:eastAsia="zh-CN"/>
        </w:rPr>
        <w:t>。</w:t>
      </w:r>
    </w:p>
    <w:p>
      <w:pPr>
        <w:spacing w:line="640" w:lineRule="exact"/>
        <w:ind w:firstLine="640" w:firstLineChars="200"/>
        <w:outlineLvl w:val="0"/>
        <w:rPr>
          <w:rFonts w:ascii="黑体" w:hAnsi="黑体" w:eastAsia="黑体"/>
          <w:sz w:val="32"/>
          <w:szCs w:val="32"/>
        </w:rPr>
      </w:pPr>
      <w:r>
        <w:rPr>
          <w:rFonts w:hint="eastAsia" w:ascii="黑体" w:hAnsi="黑体" w:eastAsia="黑体"/>
          <w:sz w:val="32"/>
          <w:szCs w:val="32"/>
          <w:lang w:val="en-US" w:eastAsia="zh-CN"/>
        </w:rPr>
        <w:t>五</w:t>
      </w:r>
      <w:r>
        <w:rPr>
          <w:rFonts w:hint="eastAsia" w:ascii="黑体" w:hAnsi="黑体" w:eastAsia="黑体"/>
          <w:sz w:val="32"/>
          <w:szCs w:val="32"/>
        </w:rPr>
        <w:t>、一般公共预算支出预算情况说明</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周口市川汇区妇幼保健计划生育服务中心</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年一般公共预算支出年初预算为</w:t>
      </w:r>
      <w:r>
        <w:rPr>
          <w:rFonts w:hint="eastAsia" w:ascii="仿宋" w:hAnsi="仿宋" w:eastAsia="仿宋" w:cs="仿宋"/>
          <w:spacing w:val="-2"/>
          <w:sz w:val="32"/>
          <w:szCs w:val="32"/>
          <w:lang w:val="en-US" w:eastAsia="zh-CN"/>
        </w:rPr>
        <w:t>737.2</w:t>
      </w:r>
      <w:r>
        <w:rPr>
          <w:rFonts w:hint="eastAsia" w:ascii="仿宋" w:hAnsi="仿宋" w:eastAsia="仿宋" w:cs="仿宋"/>
          <w:spacing w:val="-2"/>
          <w:sz w:val="32"/>
          <w:szCs w:val="32"/>
        </w:rPr>
        <w:t>万元。</w:t>
      </w:r>
    </w:p>
    <w:p>
      <w:pPr>
        <w:spacing w:line="640" w:lineRule="exact"/>
        <w:ind w:firstLine="640" w:firstLineChars="200"/>
        <w:outlineLvl w:val="0"/>
        <w:rPr>
          <w:rFonts w:ascii="黑体" w:hAnsi="黑体" w:eastAsia="黑体"/>
          <w:sz w:val="32"/>
          <w:szCs w:val="32"/>
        </w:rPr>
      </w:pPr>
      <w:r>
        <w:rPr>
          <w:rFonts w:hint="eastAsia" w:ascii="黑体" w:hAnsi="黑体" w:eastAsia="黑体"/>
          <w:sz w:val="32"/>
          <w:szCs w:val="32"/>
        </w:rPr>
        <w:t>六、一般公共预算基本支出预算情况说明</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周口市川汇区妇幼保健计划生育服务中心</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年一般公共预算基本支出年初预算为</w:t>
      </w:r>
      <w:r>
        <w:rPr>
          <w:rFonts w:hint="eastAsia" w:ascii="仿宋" w:hAnsi="仿宋" w:eastAsia="仿宋" w:cs="仿宋"/>
          <w:spacing w:val="-2"/>
          <w:sz w:val="32"/>
          <w:szCs w:val="32"/>
          <w:lang w:val="en-US" w:eastAsia="zh-CN"/>
        </w:rPr>
        <w:t>737.2</w:t>
      </w:r>
      <w:r>
        <w:rPr>
          <w:rFonts w:hint="eastAsia" w:ascii="仿宋" w:hAnsi="仿宋" w:eastAsia="仿宋" w:cs="仿宋"/>
          <w:spacing w:val="-2"/>
          <w:sz w:val="32"/>
          <w:szCs w:val="32"/>
        </w:rPr>
        <w:t>万元。其中：人员经费支出</w:t>
      </w:r>
      <w:r>
        <w:rPr>
          <w:rFonts w:hint="eastAsia" w:ascii="仿宋" w:hAnsi="仿宋" w:eastAsia="仿宋" w:cs="仿宋"/>
          <w:spacing w:val="-2"/>
          <w:sz w:val="32"/>
          <w:szCs w:val="32"/>
          <w:lang w:val="en-US" w:eastAsia="zh-CN"/>
        </w:rPr>
        <w:t>717.7</w:t>
      </w:r>
      <w:r>
        <w:rPr>
          <w:rFonts w:hint="eastAsia" w:ascii="仿宋" w:hAnsi="仿宋" w:eastAsia="仿宋" w:cs="仿宋"/>
          <w:spacing w:val="-2"/>
          <w:sz w:val="32"/>
          <w:szCs w:val="32"/>
        </w:rPr>
        <w:t>万元，占</w:t>
      </w:r>
      <w:r>
        <w:rPr>
          <w:rFonts w:hint="eastAsia" w:ascii="仿宋" w:hAnsi="仿宋" w:eastAsia="仿宋" w:cs="仿宋"/>
          <w:spacing w:val="-2"/>
          <w:sz w:val="32"/>
          <w:szCs w:val="32"/>
          <w:lang w:val="en-US" w:eastAsia="zh-CN"/>
        </w:rPr>
        <w:t>97.35</w:t>
      </w:r>
      <w:r>
        <w:rPr>
          <w:rFonts w:hint="eastAsia" w:ascii="仿宋" w:hAnsi="仿宋" w:eastAsia="仿宋" w:cs="仿宋"/>
          <w:spacing w:val="-2"/>
          <w:sz w:val="32"/>
          <w:szCs w:val="32"/>
        </w:rPr>
        <w:t>%；公用经费支出</w:t>
      </w:r>
      <w:r>
        <w:rPr>
          <w:rFonts w:hint="eastAsia" w:ascii="仿宋" w:hAnsi="仿宋" w:eastAsia="仿宋" w:cs="仿宋"/>
          <w:spacing w:val="-2"/>
          <w:sz w:val="32"/>
          <w:szCs w:val="32"/>
          <w:lang w:val="en-US" w:eastAsia="zh-CN"/>
        </w:rPr>
        <w:t>19.4</w:t>
      </w:r>
      <w:r>
        <w:rPr>
          <w:rFonts w:hint="eastAsia" w:ascii="仿宋" w:hAnsi="仿宋" w:eastAsia="仿宋" w:cs="仿宋"/>
          <w:spacing w:val="-2"/>
          <w:sz w:val="32"/>
          <w:szCs w:val="32"/>
        </w:rPr>
        <w:t>万元，占</w:t>
      </w:r>
      <w:r>
        <w:rPr>
          <w:rFonts w:hint="eastAsia" w:ascii="仿宋" w:hAnsi="仿宋" w:eastAsia="仿宋" w:cs="仿宋"/>
          <w:spacing w:val="-2"/>
          <w:sz w:val="32"/>
          <w:szCs w:val="32"/>
          <w:lang w:val="en-US" w:eastAsia="zh-CN"/>
        </w:rPr>
        <w:t>2.65</w:t>
      </w:r>
      <w:r>
        <w:rPr>
          <w:rFonts w:hint="eastAsia" w:ascii="仿宋" w:hAnsi="仿宋" w:eastAsia="仿宋" w:cs="仿宋"/>
          <w:spacing w:val="-2"/>
          <w:sz w:val="32"/>
          <w:szCs w:val="32"/>
        </w:rPr>
        <w:t>%。</w:t>
      </w:r>
    </w:p>
    <w:p>
      <w:pPr>
        <w:spacing w:line="640" w:lineRule="exact"/>
        <w:ind w:firstLine="640" w:firstLineChars="200"/>
        <w:outlineLvl w:val="0"/>
        <w:rPr>
          <w:rFonts w:ascii="黑体" w:hAnsi="黑体" w:eastAsia="黑体"/>
          <w:sz w:val="32"/>
          <w:szCs w:val="32"/>
        </w:rPr>
      </w:pPr>
      <w:r>
        <w:rPr>
          <w:rFonts w:hint="eastAsia" w:ascii="黑体" w:hAnsi="黑体" w:eastAsia="黑体"/>
          <w:sz w:val="32"/>
          <w:szCs w:val="32"/>
        </w:rPr>
        <w:t>七、“三公”经费支出预算情况说明</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周口市川汇区妇幼保健计划生育服务中心</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年“三公”经费预算为</w:t>
      </w:r>
      <w:r>
        <w:rPr>
          <w:rFonts w:hint="eastAsia" w:ascii="仿宋" w:hAnsi="仿宋" w:eastAsia="仿宋" w:cs="仿宋"/>
          <w:spacing w:val="-2"/>
          <w:sz w:val="32"/>
          <w:szCs w:val="32"/>
          <w:lang w:val="en-US" w:eastAsia="zh-CN"/>
        </w:rPr>
        <w:t>0</w:t>
      </w:r>
      <w:r>
        <w:rPr>
          <w:rFonts w:hint="eastAsia" w:ascii="仿宋" w:hAnsi="仿宋" w:eastAsia="仿宋" w:cs="仿宋"/>
          <w:spacing w:val="-2"/>
          <w:sz w:val="32"/>
          <w:szCs w:val="32"/>
        </w:rPr>
        <w:t>万元。</w:t>
      </w:r>
    </w:p>
    <w:p>
      <w:pPr>
        <w:spacing w:line="640" w:lineRule="exact"/>
        <w:ind w:firstLine="640" w:firstLineChars="200"/>
        <w:outlineLvl w:val="0"/>
        <w:rPr>
          <w:rFonts w:ascii="仿宋_GB2312" w:hAnsi="仿宋_GB2312" w:eastAsia="仿宋_GB2312" w:cs="仿宋_GB2312"/>
          <w:sz w:val="32"/>
          <w:szCs w:val="32"/>
        </w:rPr>
      </w:pPr>
      <w:r>
        <w:rPr>
          <w:rFonts w:hint="eastAsia" w:ascii="黑体" w:hAnsi="黑体" w:eastAsia="黑体"/>
          <w:sz w:val="32"/>
          <w:szCs w:val="32"/>
        </w:rPr>
        <w:t>八、政府性基金预算支出预算情况说明</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周口市川汇区妇幼保健计划生育服务中心</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年无使用政府性基金预算拨款安排的支出。</w:t>
      </w:r>
    </w:p>
    <w:p>
      <w:pPr>
        <w:kinsoku w:val="0"/>
        <w:overflowPunct w:val="0"/>
        <w:autoSpaceDE w:val="0"/>
        <w:autoSpaceDN w:val="0"/>
        <w:adjustRightInd w:val="0"/>
        <w:snapToGrid w:val="0"/>
        <w:spacing w:line="640" w:lineRule="exact"/>
        <w:ind w:firstLine="640" w:firstLineChars="200"/>
        <w:rPr>
          <w:rFonts w:ascii="仿宋_GB2312" w:hAnsi="仿宋_GB2312" w:eastAsia="仿宋_GB2312" w:cs="仿宋_GB2312"/>
          <w:sz w:val="32"/>
          <w:szCs w:val="32"/>
        </w:rPr>
      </w:pPr>
      <w:r>
        <w:rPr>
          <w:rFonts w:hint="eastAsia" w:ascii="黑体" w:hAnsi="黑体" w:eastAsia="黑体"/>
          <w:sz w:val="32"/>
          <w:szCs w:val="32"/>
        </w:rPr>
        <w:t>九、</w:t>
      </w:r>
      <w:r>
        <w:rPr>
          <w:rFonts w:hint="eastAsia" w:ascii="黑体" w:hAnsi="Times New Roman" w:eastAsia="黑体" w:cs="黑体"/>
          <w:sz w:val="32"/>
          <w:szCs w:val="32"/>
        </w:rPr>
        <w:t>其他重要事项情况说明（以下情况金额为0的，仍需进行情况说明，部门</w:t>
      </w:r>
      <w:r>
        <w:rPr>
          <w:rFonts w:ascii="黑体" w:hAnsi="Times New Roman" w:eastAsia="黑体" w:cs="黑体"/>
          <w:sz w:val="32"/>
          <w:szCs w:val="32"/>
        </w:rPr>
        <w:t>所属单位不包括</w:t>
      </w:r>
      <w:r>
        <w:rPr>
          <w:rFonts w:hint="eastAsia" w:ascii="黑体" w:hAnsi="Times New Roman" w:eastAsia="黑体" w:cs="黑体"/>
          <w:sz w:val="32"/>
          <w:szCs w:val="32"/>
        </w:rPr>
        <w:t>第五条）</w:t>
      </w:r>
    </w:p>
    <w:p>
      <w:pPr>
        <w:kinsoku w:val="0"/>
        <w:overflowPunct w:val="0"/>
        <w:autoSpaceDE w:val="0"/>
        <w:autoSpaceDN w:val="0"/>
        <w:adjustRightInd w:val="0"/>
        <w:snapToGrid w:val="0"/>
        <w:spacing w:line="640" w:lineRule="exact"/>
        <w:ind w:firstLine="640" w:firstLineChars="200"/>
        <w:rPr>
          <w:rFonts w:ascii="仿宋_GB2312" w:hAnsi="Times New Roman" w:eastAsia="仿宋_GB2312" w:cs="仿宋_GB2312"/>
          <w:b/>
          <w:sz w:val="32"/>
          <w:szCs w:val="32"/>
        </w:rPr>
      </w:pPr>
      <w:r>
        <w:rPr>
          <w:rFonts w:hint="eastAsia" w:ascii="楷体_GB2312" w:hAnsi="仿宋_GB2312" w:eastAsia="楷体_GB2312" w:cs="仿宋_GB2312"/>
          <w:sz w:val="32"/>
          <w:szCs w:val="32"/>
        </w:rPr>
        <w:t>（一）</w:t>
      </w:r>
      <w:r>
        <w:rPr>
          <w:rFonts w:hint="eastAsia" w:ascii="仿宋_GB2312" w:hAnsi="Times New Roman" w:eastAsia="仿宋_GB2312" w:cs="仿宋_GB2312"/>
          <w:b/>
          <w:sz w:val="32"/>
          <w:szCs w:val="32"/>
        </w:rPr>
        <w:t>行政（事业）单位机构运转经费</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周口市川汇区妇幼保健计划生育服务中心</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年机关运行经费支出预算</w:t>
      </w:r>
      <w:r>
        <w:rPr>
          <w:rFonts w:hint="eastAsia" w:ascii="仿宋" w:hAnsi="仿宋" w:eastAsia="仿宋" w:cs="仿宋"/>
          <w:spacing w:val="-2"/>
          <w:sz w:val="32"/>
          <w:szCs w:val="32"/>
          <w:lang w:val="en-US" w:eastAsia="zh-CN"/>
        </w:rPr>
        <w:t>19.4</w:t>
      </w:r>
      <w:r>
        <w:rPr>
          <w:rFonts w:hint="eastAsia" w:ascii="仿宋" w:hAnsi="仿宋" w:eastAsia="仿宋" w:cs="仿宋"/>
          <w:spacing w:val="-2"/>
          <w:sz w:val="32"/>
          <w:szCs w:val="32"/>
        </w:rPr>
        <w:t>万元，主要保障机关机构正常运转及正常履职需要的办</w:t>
      </w:r>
      <w:r>
        <w:rPr>
          <w:rFonts w:hint="eastAsia" w:ascii="仿宋" w:hAnsi="仿宋" w:eastAsia="仿宋" w:cs="仿宋"/>
          <w:spacing w:val="-2"/>
          <w:sz w:val="32"/>
          <w:szCs w:val="32"/>
          <w:lang w:val="en-US" w:eastAsia="zh-CN"/>
        </w:rPr>
        <w:t>公费</w:t>
      </w:r>
      <w:r>
        <w:rPr>
          <w:rFonts w:hint="eastAsia" w:ascii="仿宋" w:hAnsi="仿宋" w:eastAsia="仿宋" w:cs="仿宋"/>
          <w:spacing w:val="-2"/>
          <w:sz w:val="32"/>
          <w:szCs w:val="32"/>
        </w:rPr>
        <w:t>支出。</w:t>
      </w:r>
    </w:p>
    <w:p>
      <w:pPr>
        <w:kinsoku w:val="0"/>
        <w:overflowPunct w:val="0"/>
        <w:autoSpaceDE w:val="0"/>
        <w:autoSpaceDN w:val="0"/>
        <w:adjustRightInd w:val="0"/>
        <w:snapToGrid w:val="0"/>
        <w:spacing w:line="640" w:lineRule="exact"/>
        <w:ind w:firstLine="640" w:firstLineChars="200"/>
        <w:outlineLvl w:val="0"/>
        <w:rPr>
          <w:rFonts w:ascii="楷体_GB2312" w:hAnsi="仿宋_GB2312" w:eastAsia="楷体_GB2312" w:cs="仿宋_GB2312"/>
          <w:sz w:val="32"/>
          <w:szCs w:val="32"/>
        </w:rPr>
      </w:pPr>
      <w:r>
        <w:rPr>
          <w:rFonts w:hint="eastAsia" w:ascii="楷体_GB2312" w:hAnsi="仿宋_GB2312" w:eastAsia="楷体_GB2312" w:cs="仿宋_GB2312"/>
          <w:sz w:val="32"/>
          <w:szCs w:val="32"/>
        </w:rPr>
        <w:t>（二）政府采购支出情况</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年政府采购预算安排</w:t>
      </w:r>
      <w:r>
        <w:rPr>
          <w:rFonts w:hint="eastAsia" w:ascii="仿宋" w:hAnsi="仿宋" w:eastAsia="仿宋" w:cs="仿宋"/>
          <w:spacing w:val="-2"/>
          <w:sz w:val="32"/>
          <w:szCs w:val="32"/>
          <w:lang w:val="en-US" w:eastAsia="zh-CN"/>
        </w:rPr>
        <w:t>0</w:t>
      </w:r>
      <w:r>
        <w:rPr>
          <w:rFonts w:hint="eastAsia" w:ascii="仿宋" w:hAnsi="仿宋" w:eastAsia="仿宋" w:cs="仿宋"/>
          <w:spacing w:val="-2"/>
          <w:sz w:val="32"/>
          <w:szCs w:val="32"/>
        </w:rPr>
        <w:t>万元，其中：政府采购货物预算</w:t>
      </w:r>
      <w:r>
        <w:rPr>
          <w:rFonts w:hint="eastAsia" w:ascii="仿宋" w:hAnsi="仿宋" w:eastAsia="仿宋" w:cs="仿宋"/>
          <w:spacing w:val="-2"/>
          <w:sz w:val="32"/>
          <w:szCs w:val="32"/>
          <w:lang w:val="en-US" w:eastAsia="zh-CN"/>
        </w:rPr>
        <w:t>0</w:t>
      </w:r>
      <w:r>
        <w:rPr>
          <w:rFonts w:hint="eastAsia" w:ascii="仿宋" w:hAnsi="仿宋" w:eastAsia="仿宋" w:cs="仿宋"/>
          <w:spacing w:val="-2"/>
          <w:sz w:val="32"/>
          <w:szCs w:val="32"/>
        </w:rPr>
        <w:t>万元、政府采购工程预算</w:t>
      </w:r>
      <w:r>
        <w:rPr>
          <w:rFonts w:hint="eastAsia" w:ascii="仿宋" w:hAnsi="仿宋" w:eastAsia="仿宋" w:cs="仿宋"/>
          <w:spacing w:val="-2"/>
          <w:sz w:val="32"/>
          <w:szCs w:val="32"/>
          <w:lang w:val="en-US" w:eastAsia="zh-CN"/>
        </w:rPr>
        <w:t>0</w:t>
      </w:r>
      <w:r>
        <w:rPr>
          <w:rFonts w:hint="eastAsia" w:ascii="仿宋" w:hAnsi="仿宋" w:eastAsia="仿宋" w:cs="仿宋"/>
          <w:spacing w:val="-2"/>
          <w:sz w:val="32"/>
          <w:szCs w:val="32"/>
        </w:rPr>
        <w:t>万元、政府采购服务预算</w:t>
      </w:r>
      <w:r>
        <w:rPr>
          <w:rFonts w:hint="eastAsia" w:ascii="仿宋" w:hAnsi="仿宋" w:eastAsia="仿宋" w:cs="仿宋"/>
          <w:spacing w:val="-2"/>
          <w:sz w:val="32"/>
          <w:szCs w:val="32"/>
          <w:lang w:val="en-US" w:eastAsia="zh-CN"/>
        </w:rPr>
        <w:t>0</w:t>
      </w:r>
      <w:r>
        <w:rPr>
          <w:rFonts w:hint="eastAsia" w:ascii="仿宋" w:hAnsi="仿宋" w:eastAsia="仿宋" w:cs="仿宋"/>
          <w:spacing w:val="-2"/>
          <w:sz w:val="32"/>
          <w:szCs w:val="32"/>
        </w:rPr>
        <w:t>万元。</w:t>
      </w:r>
    </w:p>
    <w:p>
      <w:pPr>
        <w:kinsoku w:val="0"/>
        <w:overflowPunct w:val="0"/>
        <w:autoSpaceDE w:val="0"/>
        <w:autoSpaceDN w:val="0"/>
        <w:adjustRightInd w:val="0"/>
        <w:snapToGrid w:val="0"/>
        <w:spacing w:line="640" w:lineRule="exact"/>
        <w:ind w:firstLine="640" w:firstLineChars="200"/>
        <w:outlineLvl w:val="0"/>
        <w:rPr>
          <w:rFonts w:ascii="楷体_GB2312" w:hAnsi="仿宋_GB2312" w:eastAsia="楷体_GB2312" w:cs="仿宋_GB2312"/>
          <w:sz w:val="32"/>
          <w:szCs w:val="32"/>
        </w:rPr>
      </w:pPr>
      <w:r>
        <w:rPr>
          <w:rFonts w:hint="eastAsia" w:ascii="楷体_GB2312" w:hAnsi="仿宋_GB2312" w:eastAsia="楷体_GB2312" w:cs="仿宋_GB2312"/>
          <w:sz w:val="32"/>
          <w:szCs w:val="32"/>
        </w:rPr>
        <w:t>（三）绩效目标设置情况</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周口市川汇区妇幼保健计划生育服务中心</w:t>
      </w:r>
      <w:r>
        <w:rPr>
          <w:rFonts w:hint="eastAsia" w:ascii="仿宋" w:hAnsi="仿宋" w:eastAsia="仿宋" w:cs="仿宋"/>
          <w:spacing w:val="-2"/>
          <w:sz w:val="32"/>
          <w:szCs w:val="32"/>
        </w:rPr>
        <w:t>202</w:t>
      </w:r>
      <w:r>
        <w:rPr>
          <w:rFonts w:hint="eastAsia" w:ascii="仿宋" w:hAnsi="仿宋" w:eastAsia="仿宋" w:cs="仿宋"/>
          <w:spacing w:val="-2"/>
          <w:sz w:val="32"/>
          <w:szCs w:val="32"/>
          <w:lang w:val="en-US" w:eastAsia="zh-CN"/>
        </w:rPr>
        <w:t>4</w:t>
      </w:r>
      <w:r>
        <w:rPr>
          <w:rFonts w:hint="eastAsia" w:ascii="仿宋" w:hAnsi="仿宋" w:eastAsia="仿宋" w:cs="仿宋"/>
          <w:spacing w:val="-2"/>
          <w:sz w:val="32"/>
          <w:szCs w:val="32"/>
        </w:rPr>
        <w:t>年预算项目均按要求编制了绩效目标，从项目产出、项目效益、满意度等方面设置了绩效指标，综合反映项目预期完成的数量、实效、质量，预期达到的社会经济效益、可持续影响以及服务对象满意度等情况。</w:t>
      </w:r>
    </w:p>
    <w:p>
      <w:pPr>
        <w:numPr>
          <w:ilvl w:val="0"/>
          <w:numId w:val="0"/>
        </w:numPr>
        <w:kinsoku w:val="0"/>
        <w:overflowPunct w:val="0"/>
        <w:autoSpaceDE w:val="0"/>
        <w:autoSpaceDN w:val="0"/>
        <w:adjustRightInd w:val="0"/>
        <w:snapToGrid w:val="0"/>
        <w:spacing w:line="640" w:lineRule="exact"/>
        <w:ind w:firstLine="640" w:firstLineChars="200"/>
        <w:outlineLvl w:val="0"/>
        <w:rPr>
          <w:rFonts w:ascii="楷体_GB2312" w:hAnsi="仿宋_GB2312" w:eastAsia="楷体_GB2312" w:cs="仿宋_GB2312"/>
          <w:sz w:val="32"/>
          <w:szCs w:val="32"/>
        </w:rPr>
      </w:pPr>
      <w:r>
        <w:rPr>
          <w:rFonts w:hint="eastAsia" w:ascii="楷体_GB2312" w:hAnsi="仿宋_GB2312" w:eastAsia="楷体_GB2312" w:cs="仿宋_GB2312"/>
          <w:sz w:val="32"/>
          <w:szCs w:val="32"/>
          <w:lang w:eastAsia="zh-CN"/>
        </w:rPr>
        <w:t>（</w:t>
      </w:r>
      <w:r>
        <w:rPr>
          <w:rFonts w:hint="eastAsia" w:ascii="楷体_GB2312" w:hAnsi="仿宋_GB2312" w:eastAsia="楷体_GB2312" w:cs="仿宋_GB2312"/>
          <w:sz w:val="32"/>
          <w:szCs w:val="32"/>
          <w:lang w:val="en-US" w:eastAsia="zh-CN"/>
        </w:rPr>
        <w:t>四</w:t>
      </w:r>
      <w:r>
        <w:rPr>
          <w:rFonts w:hint="eastAsia" w:ascii="楷体_GB2312" w:hAnsi="仿宋_GB2312" w:eastAsia="楷体_GB2312" w:cs="仿宋_GB2312"/>
          <w:sz w:val="32"/>
          <w:szCs w:val="32"/>
          <w:lang w:eastAsia="zh-CN"/>
        </w:rPr>
        <w:t>）</w:t>
      </w:r>
      <w:r>
        <w:rPr>
          <w:rFonts w:hint="eastAsia" w:ascii="楷体_GB2312" w:hAnsi="仿宋_GB2312" w:eastAsia="楷体_GB2312" w:cs="仿宋_GB2312"/>
          <w:sz w:val="32"/>
          <w:szCs w:val="32"/>
        </w:rPr>
        <w:t>专项转移支付项目情况</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r>
        <w:rPr>
          <w:rFonts w:hint="eastAsia" w:ascii="仿宋" w:hAnsi="仿宋" w:eastAsia="仿宋" w:cs="仿宋"/>
          <w:spacing w:val="-2"/>
          <w:sz w:val="32"/>
          <w:szCs w:val="32"/>
          <w:lang w:val="en-US" w:eastAsia="zh-CN"/>
        </w:rPr>
        <w:t>周口市川汇区妇幼保健计划生育服务中心</w:t>
      </w:r>
      <w:r>
        <w:rPr>
          <w:rFonts w:hint="eastAsia" w:ascii="仿宋" w:hAnsi="仿宋" w:eastAsia="仿宋" w:cs="仿宋"/>
          <w:spacing w:val="-2"/>
          <w:sz w:val="32"/>
          <w:szCs w:val="32"/>
        </w:rPr>
        <w:t>无专项转移支付项目。</w:t>
      </w: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p>
    <w:p>
      <w:pPr>
        <w:kinsoku w:val="0"/>
        <w:overflowPunct w:val="0"/>
        <w:autoSpaceDE w:val="0"/>
        <w:autoSpaceDN w:val="0"/>
        <w:adjustRightInd w:val="0"/>
        <w:snapToGrid w:val="0"/>
        <w:spacing w:line="640" w:lineRule="exact"/>
        <w:ind w:firstLine="632" w:firstLineChars="200"/>
        <w:rPr>
          <w:rFonts w:hint="eastAsia" w:ascii="仿宋" w:hAnsi="仿宋" w:eastAsia="仿宋" w:cs="仿宋"/>
          <w:spacing w:val="-2"/>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kinsoku w:val="0"/>
        <w:overflowPunct w:val="0"/>
        <w:autoSpaceDE w:val="0"/>
        <w:autoSpaceDN w:val="0"/>
        <w:adjustRightInd w:val="0"/>
        <w:snapToGrid w:val="0"/>
        <w:spacing w:line="640" w:lineRule="exact"/>
        <w:rPr>
          <w:rFonts w:hint="eastAsia" w:ascii="仿宋_GB2312" w:hAnsi="仿宋_GB2312" w:eastAsia="仿宋_GB2312" w:cs="仿宋_GB2312"/>
          <w:b/>
          <w:sz w:val="32"/>
          <w:szCs w:val="32"/>
        </w:rPr>
      </w:pPr>
    </w:p>
    <w:p>
      <w:pPr>
        <w:adjustRightInd w:val="0"/>
        <w:snapToGrid w:val="0"/>
        <w:spacing w:line="640" w:lineRule="exact"/>
        <w:jc w:val="center"/>
        <w:rPr>
          <w:rFonts w:hint="eastAsia" w:ascii="方正小标宋简体" w:hAnsi="黑体" w:eastAsia="方正小标宋简体"/>
          <w:bCs/>
          <w:sz w:val="44"/>
          <w:szCs w:val="44"/>
        </w:rPr>
      </w:pPr>
      <w:r>
        <w:rPr>
          <w:rFonts w:hint="eastAsia" w:ascii="方正小标宋简体" w:hAnsi="黑体" w:eastAsia="方正小标宋简体"/>
          <w:bCs/>
          <w:sz w:val="44"/>
          <w:szCs w:val="44"/>
        </w:rPr>
        <w:t>第三部分</w:t>
      </w:r>
    </w:p>
    <w:p>
      <w:pPr>
        <w:adjustRightInd w:val="0"/>
        <w:snapToGrid w:val="0"/>
        <w:spacing w:line="640" w:lineRule="exact"/>
        <w:jc w:val="center"/>
        <w:rPr>
          <w:rFonts w:hint="eastAsia" w:ascii="方正小标宋简体" w:hAnsi="黑体" w:eastAsia="方正小标宋简体"/>
          <w:bCs/>
          <w:sz w:val="44"/>
          <w:szCs w:val="44"/>
        </w:rPr>
      </w:pPr>
      <w:r>
        <w:rPr>
          <w:rFonts w:hint="eastAsia" w:ascii="方正小标宋简体" w:hAnsi="黑体" w:eastAsia="方正小标宋简体"/>
          <w:bCs/>
          <w:sz w:val="44"/>
          <w:szCs w:val="44"/>
        </w:rPr>
        <w:t>名词解释</w:t>
      </w:r>
    </w:p>
    <w:p>
      <w:pPr>
        <w:kinsoku w:val="0"/>
        <w:overflowPunct w:val="0"/>
        <w:autoSpaceDE w:val="0"/>
        <w:autoSpaceDN w:val="0"/>
        <w:adjustRightInd w:val="0"/>
        <w:snapToGrid w:val="0"/>
        <w:spacing w:line="640" w:lineRule="exact"/>
        <w:ind w:firstLine="640" w:firstLineChars="200"/>
        <w:rPr>
          <w:rFonts w:ascii="仿宋_GB2312" w:hAnsi="仿宋_GB2312" w:eastAsia="仿宋_GB2312" w:cs="仿宋_GB2312"/>
          <w:sz w:val="32"/>
          <w:szCs w:val="32"/>
        </w:rPr>
      </w:pP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一、财政拨款收入：是指市级财政当年拨付的资金；</w:t>
      </w:r>
      <w:r>
        <w:rPr>
          <w:rFonts w:hint="eastAsia" w:ascii="仿宋_GB2312" w:hAnsi="仿宋" w:eastAsia="仿宋_GB2312" w:cs="仿宋_GB2312"/>
          <w:sz w:val="32"/>
          <w:szCs w:val="32"/>
        </w:rPr>
        <w:t>包括一般公共预算拨款、政府性基金预算拨款、国有资本经营预算拨款</w:t>
      </w:r>
      <w:r>
        <w:rPr>
          <w:rFonts w:hint="eastAsia" w:ascii="仿宋_GB2312" w:hAnsi="宋体" w:eastAsia="仿宋_GB2312" w:cs="Courier New"/>
          <w:sz w:val="32"/>
          <w:szCs w:val="32"/>
        </w:rPr>
        <w:t>。</w:t>
      </w:r>
    </w:p>
    <w:p>
      <w:pPr>
        <w:kinsoku w:val="0"/>
        <w:overflowPunct w:val="0"/>
        <w:autoSpaceDE w:val="0"/>
        <w:autoSpaceDN w:val="0"/>
        <w:adjustRightInd w:val="0"/>
        <w:snapToGrid w:val="0"/>
        <w:spacing w:line="640" w:lineRule="exact"/>
        <w:ind w:firstLine="640" w:firstLineChars="200"/>
        <w:rPr>
          <w:rFonts w:ascii="仿宋_GB2312" w:hAnsi="仿宋" w:eastAsia="仿宋_GB2312" w:cs="仿宋_GB2312"/>
          <w:sz w:val="32"/>
          <w:szCs w:val="32"/>
        </w:rPr>
      </w:pPr>
      <w:r>
        <w:rPr>
          <w:rFonts w:hint="eastAsia" w:ascii="仿宋_GB2312" w:hAnsi="仿宋" w:eastAsia="仿宋_GB2312" w:cs="仿宋_GB2312"/>
          <w:sz w:val="32"/>
          <w:szCs w:val="32"/>
        </w:rPr>
        <w:t>二</w:t>
      </w:r>
      <w:r>
        <w:rPr>
          <w:rFonts w:ascii="仿宋_GB2312" w:hAnsi="仿宋" w:eastAsia="仿宋_GB2312" w:cs="仿宋_GB2312"/>
          <w:sz w:val="32"/>
          <w:szCs w:val="32"/>
        </w:rPr>
        <w:t>、财政专户管理资金</w:t>
      </w:r>
      <w:r>
        <w:rPr>
          <w:rFonts w:hint="eastAsia" w:ascii="仿宋_GB2312" w:hAnsi="仿宋" w:eastAsia="仿宋_GB2312" w:cs="仿宋_GB2312"/>
          <w:sz w:val="32"/>
          <w:szCs w:val="32"/>
        </w:rPr>
        <w:t>：</w:t>
      </w:r>
      <w:r>
        <w:rPr>
          <w:rFonts w:ascii="仿宋_GB2312" w:hAnsi="仿宋" w:eastAsia="仿宋_GB2312" w:cs="仿宋_GB2312"/>
          <w:sz w:val="32"/>
          <w:szCs w:val="32"/>
        </w:rPr>
        <w:t>是指缴入财政专户、实行专项管理的高中以上学费、住宿费、高校委托培养费、函大、电大、夜大及短训班培训费等教育收费</w:t>
      </w:r>
      <w:r>
        <w:rPr>
          <w:rFonts w:hint="eastAsia" w:ascii="仿宋_GB2312" w:hAnsi="仿宋" w:eastAsia="仿宋_GB2312" w:cs="仿宋_GB2312"/>
          <w:sz w:val="32"/>
          <w:szCs w:val="32"/>
        </w:rPr>
        <w:t>。</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三、事业收入：是指事业单位开展专业活动及辅助活动所取得的收入</w:t>
      </w:r>
      <w:r>
        <w:rPr>
          <w:rFonts w:ascii="仿宋_GB2312" w:hAnsi="仿宋" w:eastAsia="仿宋_GB2312" w:cs="仿宋_GB2312"/>
          <w:sz w:val="32"/>
          <w:szCs w:val="32"/>
        </w:rPr>
        <w:t>，不包括教育收费</w:t>
      </w:r>
      <w:r>
        <w:rPr>
          <w:rFonts w:hint="eastAsia" w:ascii="仿宋_GB2312" w:hAnsi="宋体" w:eastAsia="仿宋_GB2312" w:cs="Courier New"/>
          <w:sz w:val="32"/>
          <w:szCs w:val="32"/>
        </w:rPr>
        <w:t>。</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四、事业单位经营收入：是指事业单位在专业业务活动及其辅助活动之外开展非独立核算经营活动取得的收入</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 xml:space="preserve">五、其他收入：是指部门取得的除“财政拨款”、“事业收入”、“事业单位经营收入”等以外的收入。 </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六、用事业基金弥补收支差额：是指事业单位在当年的“财政拨款收入”、“事业收入”、“经营收入”和“其他收入”不足以安排当年支出的情况下，使用以前年度积累的事业基金（即事业单位以前各年度收支相抵后，按国家规定提取、用于弥补以后年度收支差额的基金）弥补当年收支缺口的资金。</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七、基本支出：是指为保障机构正常运转、完成日常工作任务所必需的开支，其内容包括人员经费和日常公用经费两部分。</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八、项目支出：是指在基本支出之外，为完成特定的行政工作任务或事业发展目标所发生的支出。</w:t>
      </w:r>
    </w:p>
    <w:p>
      <w:pPr>
        <w:kinsoku w:val="0"/>
        <w:overflowPunct w:val="0"/>
        <w:autoSpaceDE w:val="0"/>
        <w:autoSpaceDN w:val="0"/>
        <w:adjustRightInd w:val="0"/>
        <w:snapToGrid w:val="0"/>
        <w:spacing w:line="640" w:lineRule="exact"/>
        <w:ind w:firstLine="640" w:firstLineChars="200"/>
        <w:rPr>
          <w:rFonts w:ascii="仿宋_GB2312" w:hAnsi="宋体" w:eastAsia="仿宋_GB2312" w:cs="Courier New"/>
          <w:sz w:val="32"/>
          <w:szCs w:val="32"/>
        </w:rPr>
      </w:pPr>
      <w:r>
        <w:rPr>
          <w:rFonts w:hint="eastAsia" w:ascii="仿宋_GB2312" w:hAnsi="宋体" w:eastAsia="仿宋_GB2312" w:cs="Courier New"/>
          <w:sz w:val="32"/>
          <w:szCs w:val="32"/>
        </w:rPr>
        <w:t>九、“三公”经费：是指纳入市级财政预算管理，部门使用财政拨款安排的因公出国（境）费、公务用车购置及运行费和公务接待费。其中，因公出国（境）费反映单位公务出国（境）的住宿费、旅费、伙食补助费、杂费、培训费等支出；公务用车购置及运行费反映单位公务用车购置费及租用费、燃料费、维修费、过路过桥费、保险费、安全奖励费用等支出；公务接待费反映单位按规定开支的各类公务接待（含外宾接待）支出。</w:t>
      </w:r>
    </w:p>
    <w:p>
      <w:pPr>
        <w:kinsoku w:val="0"/>
        <w:overflowPunct w:val="0"/>
        <w:autoSpaceDE w:val="0"/>
        <w:autoSpaceDN w:val="0"/>
        <w:adjustRightInd w:val="0"/>
        <w:snapToGrid w:val="0"/>
        <w:spacing w:line="640" w:lineRule="exact"/>
        <w:ind w:firstLine="640" w:firstLineChars="200"/>
        <w:rPr>
          <w:rFonts w:ascii="仿宋_GB2312" w:hAnsi="仿宋_GB2312" w:eastAsia="仿宋_GB2312" w:cs="仿宋_GB2312"/>
          <w:sz w:val="32"/>
          <w:szCs w:val="32"/>
        </w:rPr>
      </w:pPr>
      <w:r>
        <w:rPr>
          <w:rFonts w:hint="eastAsia" w:ascii="仿宋_GB2312" w:hAnsi="宋体" w:eastAsia="仿宋_GB2312" w:cs="Courier New"/>
          <w:sz w:val="32"/>
          <w:szCs w:val="32"/>
        </w:rPr>
        <w:t>十、行政（事业）单位机构运转经费情况：是指为保障单位（包括</w:t>
      </w:r>
      <w:r>
        <w:rPr>
          <w:rFonts w:ascii="仿宋_GB2312" w:hAnsi="宋体" w:eastAsia="仿宋_GB2312" w:cs="Courier New"/>
          <w:sz w:val="32"/>
          <w:szCs w:val="32"/>
        </w:rPr>
        <w:t>行政单位和事业单位</w:t>
      </w:r>
      <w:r>
        <w:rPr>
          <w:rFonts w:hint="eastAsia" w:ascii="仿宋_GB2312" w:hAnsi="宋体" w:eastAsia="仿宋_GB2312" w:cs="Courier New"/>
          <w:sz w:val="32"/>
          <w:szCs w:val="32"/>
        </w:rPr>
        <w:t>）运行用于购买货物和服务的各项资金，包括办公及印刷费、邮电费、差旅费、会议费、福利费、日常维修费及一般设备购置费、办公用房水电费、办公用房取暖费、办公用房物业管理费、公务用车运行维护费以及其他费用。</w:t>
      </w:r>
    </w:p>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bookmarkStart w:id="0" w:name="_GoBack"/>
      <w:bookmarkEnd w:id="0"/>
      <w:r>
        <w:rPr>
          <w:rFonts w:hint="eastAsia" w:ascii="仿宋_GB2312" w:hAnsi="仿宋_GB2312" w:eastAsia="仿宋_GB2312" w:cs="仿宋_GB2312"/>
          <w:sz w:val="32"/>
          <w:szCs w:val="32"/>
        </w:rPr>
        <w:t>附件：</w:t>
      </w:r>
      <w:r>
        <w:rPr>
          <w:rFonts w:hint="eastAsia" w:ascii="仿宋" w:hAnsi="仿宋" w:eastAsia="仿宋" w:cs="仿宋"/>
          <w:spacing w:val="-2"/>
          <w:sz w:val="32"/>
          <w:szCs w:val="32"/>
          <w:lang w:val="en-US" w:eastAsia="zh-CN"/>
        </w:rPr>
        <w:t>周口市川汇区妇幼保健计划生育服务中心</w:t>
      </w:r>
      <w:r>
        <w:rPr>
          <w:rFonts w:hint="eastAsia" w:ascii="仿宋_GB2312" w:hAnsi="仿宋_GB2312" w:eastAsia="仿宋_GB2312" w:cs="仿宋_GB2312"/>
          <w:sz w:val="32"/>
          <w:szCs w:val="32"/>
        </w:rPr>
        <w:t>202</w:t>
      </w:r>
      <w:r>
        <w:rPr>
          <w:rFonts w:hint="eastAsia" w:ascii="仿宋_GB2312" w:hAnsi="仿宋_GB2312" w:eastAsia="仿宋_GB2312" w:cs="仿宋_GB2312"/>
          <w:sz w:val="32"/>
          <w:szCs w:val="32"/>
          <w:lang w:val="en-US" w:eastAsia="zh-CN"/>
        </w:rPr>
        <w:t>4</w:t>
      </w:r>
      <w:r>
        <w:rPr>
          <w:rFonts w:hint="eastAsia" w:ascii="仿宋_GB2312" w:hAnsi="仿宋_GB2312" w:eastAsia="仿宋_GB2312" w:cs="仿宋_GB2312"/>
          <w:sz w:val="32"/>
          <w:szCs w:val="32"/>
        </w:rPr>
        <w:t>年度部门预算表</w:t>
      </w: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3250"/>
        <w:gridCol w:w="790"/>
        <w:gridCol w:w="3465"/>
        <w:gridCol w:w="132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5000" w:type="pct"/>
            <w:gridSpan w:val="4"/>
            <w:tcBorders>
              <w:top w:val="nil"/>
              <w:left w:val="nil"/>
              <w:bottom w:val="nil"/>
              <w:right w:val="nil"/>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预算01表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4"/>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bdr w:val="none" w:color="auto" w:sz="0" w:space="0"/>
                <w:lang w:val="en-US" w:eastAsia="zh-CN" w:bidi="ar"/>
              </w:rPr>
              <w:t>2024年部门收支总体情况表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248" w:type="pct"/>
            <w:gridSpan w:val="3"/>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w:t>
            </w:r>
            <w:r>
              <w:rPr>
                <w:rFonts w:hint="eastAsia" w:ascii="宋体" w:hAnsi="宋体" w:eastAsia="宋体" w:cs="宋体"/>
                <w:i w:val="0"/>
                <w:iCs w:val="0"/>
                <w:color w:val="000000"/>
                <w:kern w:val="0"/>
                <w:sz w:val="18"/>
                <w:szCs w:val="18"/>
                <w:u w:val="none"/>
                <w:lang w:val="en-US" w:eastAsia="zh-CN" w:bidi="ar"/>
              </w:rPr>
              <w:t>市川汇区妇幼保健计划生育服务中心</w:t>
            </w:r>
          </w:p>
        </w:tc>
        <w:tc>
          <w:tcPr>
            <w:tcW w:w="751" w:type="pct"/>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收入</w:t>
            </w:r>
          </w:p>
        </w:tc>
        <w:tc>
          <w:tcPr>
            <w:tcW w:w="2712"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项目  </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金额  </w:t>
            </w: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项目  </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金额</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一、一般公共预算</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一、一般公共服务</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其中：财政拨款</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二、外交</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二、政府性基金预算拨款收入</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三、国防</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三、国有资本经营预算拨款收入</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四、公共安全</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四、财政专户管理资金收入</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五、教育</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五、事业收入</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六、科学技术</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六、事业单位经营收入</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七、文化旅游体育与传媒</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七、上级补助收入</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八、社会保障和就业</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88.9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八、附属单位上缴收入</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九、社会保险基金支出</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九、其他收入</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十、卫生健康</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592.3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十一、节能环保</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十二、城乡社区事务</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十三、农林水事务</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十四、交通运输</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十五、资源勘探信息等</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十六、商业服务业等</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十七、金融支出</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十九、援助其他地区支出</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二十、自然资源海洋气象等支出</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二十一、住房保障支出</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二十二、粮油物资储备支出</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二十三、国有资本经营预算</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二十四、灾害防治及应急管理</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二十七、预备费</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二十九、其他支出</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三十、转移性支出</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三十一、债务还本支出</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三十二、债务付息支出</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三十三、债务发行费用支出</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2287" w:type="pct"/>
            <w:gridSpan w:val="2"/>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三十四、抗疫特别国债安排的支出</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本 年 收 入 合 计</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本 年 支 出 合 计</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上年结转结余</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年终结转结余</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84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收 入 总 计</w:t>
            </w:r>
          </w:p>
        </w:tc>
        <w:tc>
          <w:tcPr>
            <w:tcW w:w="44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19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支 出 总 计</w:t>
            </w:r>
          </w:p>
        </w:tc>
        <w:tc>
          <w:tcPr>
            <w:tcW w:w="7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sectPr>
          <w:footerReference r:id="rId3" w:type="default"/>
          <w:pgSz w:w="11906" w:h="16838"/>
          <w:pgMar w:top="1701" w:right="1644" w:bottom="1418" w:left="1644" w:header="851" w:footer="992" w:gutter="0"/>
          <w:pgNumType w:fmt="numberInDash"/>
          <w:cols w:space="720" w:num="1"/>
          <w:docGrid w:type="lines" w:linePitch="312" w:charSpace="0"/>
        </w:sect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786"/>
        <w:gridCol w:w="1310"/>
        <w:gridCol w:w="666"/>
        <w:gridCol w:w="666"/>
        <w:gridCol w:w="666"/>
        <w:gridCol w:w="666"/>
        <w:gridCol w:w="652"/>
        <w:gridCol w:w="652"/>
        <w:gridCol w:w="652"/>
        <w:gridCol w:w="652"/>
        <w:gridCol w:w="652"/>
        <w:gridCol w:w="652"/>
        <w:gridCol w:w="652"/>
        <w:gridCol w:w="674"/>
        <w:gridCol w:w="653"/>
        <w:gridCol w:w="653"/>
        <w:gridCol w:w="653"/>
        <w:gridCol w:w="653"/>
        <w:gridCol w:w="689"/>
        <w:gridCol w:w="63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5000" w:type="pct"/>
            <w:gridSpan w:val="20"/>
            <w:tcBorders>
              <w:top w:val="nil"/>
              <w:left w:val="nil"/>
              <w:bottom w:val="nil"/>
              <w:right w:val="nil"/>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预算02表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9" w:hRule="atLeast"/>
        </w:trPr>
        <w:tc>
          <w:tcPr>
            <w:tcW w:w="5000" w:type="pct"/>
            <w:gridSpan w:val="20"/>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bdr w:val="none" w:color="auto" w:sz="0" w:space="0"/>
                <w:lang w:val="en-US" w:eastAsia="zh-CN" w:bidi="ar"/>
              </w:rPr>
              <w:t>2024年部门收入总体情况表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4763" w:type="pct"/>
            <w:gridSpan w:val="19"/>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周口市川汇区妇幼保健计划生育服务中心</w:t>
            </w:r>
          </w:p>
        </w:tc>
        <w:tc>
          <w:tcPr>
            <w:tcW w:w="236" w:type="pct"/>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83"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部门（单位）代码</w:t>
            </w:r>
          </w:p>
        </w:tc>
        <w:tc>
          <w:tcPr>
            <w:tcW w:w="47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部门（单位）名称</w:t>
            </w:r>
          </w:p>
        </w:tc>
        <w:tc>
          <w:tcPr>
            <w:tcW w:w="2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总计</w:t>
            </w:r>
          </w:p>
        </w:tc>
        <w:tc>
          <w:tcPr>
            <w:tcW w:w="2593" w:type="pct"/>
            <w:gridSpan w:val="11"/>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本年收入</w:t>
            </w:r>
          </w:p>
        </w:tc>
        <w:tc>
          <w:tcPr>
            <w:tcW w:w="1415"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上年结转结余</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83"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471"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一般公共预算</w:t>
            </w:r>
          </w:p>
        </w:tc>
        <w:tc>
          <w:tcPr>
            <w:tcW w:w="2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政府性基金</w:t>
            </w:r>
          </w:p>
        </w:tc>
        <w:tc>
          <w:tcPr>
            <w:tcW w:w="2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国有资本经营预算</w:t>
            </w:r>
          </w:p>
        </w:tc>
        <w:tc>
          <w:tcPr>
            <w:tcW w:w="2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财政专户管理资金收入</w:t>
            </w:r>
          </w:p>
        </w:tc>
        <w:tc>
          <w:tcPr>
            <w:tcW w:w="2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事业收入</w:t>
            </w:r>
          </w:p>
        </w:tc>
        <w:tc>
          <w:tcPr>
            <w:tcW w:w="2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事业单位经营收入</w:t>
            </w:r>
          </w:p>
        </w:tc>
        <w:tc>
          <w:tcPr>
            <w:tcW w:w="2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上级补助收入</w:t>
            </w:r>
          </w:p>
        </w:tc>
        <w:tc>
          <w:tcPr>
            <w:tcW w:w="2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附属单位上缴收入</w:t>
            </w:r>
          </w:p>
        </w:tc>
        <w:tc>
          <w:tcPr>
            <w:tcW w:w="236"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其他收入  </w:t>
            </w:r>
          </w:p>
        </w:tc>
        <w:tc>
          <w:tcPr>
            <w:tcW w:w="2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2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一般公共预算</w:t>
            </w:r>
          </w:p>
        </w:tc>
        <w:tc>
          <w:tcPr>
            <w:tcW w:w="2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政府性基金</w:t>
            </w:r>
          </w:p>
        </w:tc>
        <w:tc>
          <w:tcPr>
            <w:tcW w:w="23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国有资本经营预算</w:t>
            </w:r>
          </w:p>
        </w:tc>
        <w:tc>
          <w:tcPr>
            <w:tcW w:w="236"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财政专户管理资金</w:t>
            </w:r>
          </w:p>
        </w:tc>
        <w:tc>
          <w:tcPr>
            <w:tcW w:w="236"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2" w:hRule="atLeast"/>
        </w:trPr>
        <w:tc>
          <w:tcPr>
            <w:tcW w:w="283"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小计</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其中：财政拨款</w:t>
            </w: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283"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2" w:hRule="atLeast"/>
        </w:trPr>
        <w:tc>
          <w:tcPr>
            <w:tcW w:w="28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501</w:t>
            </w: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周口市川汇区卫生健康委员会</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2" w:hRule="atLeast"/>
        </w:trPr>
        <w:tc>
          <w:tcPr>
            <w:tcW w:w="28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501014</w:t>
            </w: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周口市川汇区妇幼保健计划生育服务中心</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86"/>
        <w:gridCol w:w="446"/>
        <w:gridCol w:w="448"/>
        <w:gridCol w:w="671"/>
        <w:gridCol w:w="2249"/>
        <w:gridCol w:w="1067"/>
        <w:gridCol w:w="1067"/>
        <w:gridCol w:w="1067"/>
        <w:gridCol w:w="1070"/>
        <w:gridCol w:w="1067"/>
        <w:gridCol w:w="1076"/>
        <w:gridCol w:w="1068"/>
        <w:gridCol w:w="1085"/>
        <w:gridCol w:w="106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5000" w:type="pct"/>
            <w:gridSpan w:val="14"/>
            <w:tcBorders>
              <w:top w:val="nil"/>
              <w:left w:val="nil"/>
              <w:bottom w:val="nil"/>
              <w:right w:val="nil"/>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预算03表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9" w:hRule="atLeast"/>
        </w:trPr>
        <w:tc>
          <w:tcPr>
            <w:tcW w:w="5000" w:type="pct"/>
            <w:gridSpan w:val="14"/>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bdr w:val="none" w:color="auto" w:sz="0" w:space="0"/>
                <w:lang w:val="en-US" w:eastAsia="zh-CN" w:bidi="ar"/>
              </w:rPr>
              <w:t>2024年部门支出总体情况表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4614" w:type="pct"/>
            <w:gridSpan w:val="13"/>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周口市川汇区妇幼保健计划生育服务中心</w:t>
            </w:r>
          </w:p>
        </w:tc>
        <w:tc>
          <w:tcPr>
            <w:tcW w:w="385" w:type="pct"/>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484"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科目编码</w:t>
            </w:r>
          </w:p>
        </w:tc>
        <w:tc>
          <w:tcPr>
            <w:tcW w:w="24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单位代码</w:t>
            </w:r>
          </w:p>
        </w:tc>
        <w:tc>
          <w:tcPr>
            <w:tcW w:w="80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单位（科目名称）</w:t>
            </w:r>
          </w:p>
        </w:tc>
        <w:tc>
          <w:tcPr>
            <w:tcW w:w="38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1924" w:type="pct"/>
            <w:gridSpan w:val="5"/>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基本支出  </w:t>
            </w:r>
          </w:p>
        </w:tc>
        <w:tc>
          <w:tcPr>
            <w:tcW w:w="1155"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84"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4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0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8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8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小计</w:t>
            </w:r>
          </w:p>
        </w:tc>
        <w:tc>
          <w:tcPr>
            <w:tcW w:w="76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人员经费</w:t>
            </w:r>
          </w:p>
        </w:tc>
        <w:tc>
          <w:tcPr>
            <w:tcW w:w="770"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公用经费</w:t>
            </w:r>
          </w:p>
        </w:tc>
        <w:tc>
          <w:tcPr>
            <w:tcW w:w="38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小计</w:t>
            </w:r>
          </w:p>
        </w:tc>
        <w:tc>
          <w:tcPr>
            <w:tcW w:w="386"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其他运转类</w:t>
            </w:r>
          </w:p>
        </w:tc>
        <w:tc>
          <w:tcPr>
            <w:tcW w:w="38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特定目标类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78" w:hRule="atLeast"/>
        </w:trPr>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类</w:t>
            </w: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款</w:t>
            </w:r>
          </w:p>
        </w:tc>
        <w:tc>
          <w:tcPr>
            <w:tcW w:w="1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项</w:t>
            </w:r>
          </w:p>
        </w:tc>
        <w:tc>
          <w:tcPr>
            <w:tcW w:w="24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0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8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8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对个人和家庭的补助</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商品和服务支出</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资本性支出</w:t>
            </w:r>
          </w:p>
        </w:tc>
        <w:tc>
          <w:tcPr>
            <w:tcW w:w="38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8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8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16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6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24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703.1</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19.4</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2" w:hRule="atLeast"/>
        </w:trPr>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w:t>
            </w: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62"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4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501</w:t>
            </w:r>
          </w:p>
        </w:tc>
        <w:tc>
          <w:tcPr>
            <w:tcW w:w="80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周口市川汇区卫生健康委员会</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703.1</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19.4</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201</w:t>
            </w: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29</w:t>
            </w:r>
          </w:p>
        </w:tc>
        <w:tc>
          <w:tcPr>
            <w:tcW w:w="1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06</w:t>
            </w:r>
          </w:p>
        </w:tc>
        <w:tc>
          <w:tcPr>
            <w:tcW w:w="24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工会事务</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208</w:t>
            </w: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05</w:t>
            </w:r>
          </w:p>
        </w:tc>
        <w:tc>
          <w:tcPr>
            <w:tcW w:w="1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02</w:t>
            </w:r>
          </w:p>
        </w:tc>
        <w:tc>
          <w:tcPr>
            <w:tcW w:w="24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事业单位离退休</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2" w:hRule="atLeast"/>
        </w:trPr>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208</w:t>
            </w: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05</w:t>
            </w:r>
          </w:p>
        </w:tc>
        <w:tc>
          <w:tcPr>
            <w:tcW w:w="1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05</w:t>
            </w:r>
          </w:p>
        </w:tc>
        <w:tc>
          <w:tcPr>
            <w:tcW w:w="24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机关事业单位基本养老保险缴费支出</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69.1</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69.1</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69.1</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208</w:t>
            </w: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99</w:t>
            </w:r>
          </w:p>
        </w:tc>
        <w:tc>
          <w:tcPr>
            <w:tcW w:w="1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99</w:t>
            </w:r>
          </w:p>
        </w:tc>
        <w:tc>
          <w:tcPr>
            <w:tcW w:w="24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其他社会保障和就业支出</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5.2</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5.2</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5.2</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210</w:t>
            </w: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02</w:t>
            </w:r>
          </w:p>
        </w:tc>
        <w:tc>
          <w:tcPr>
            <w:tcW w:w="1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06</w:t>
            </w:r>
          </w:p>
        </w:tc>
        <w:tc>
          <w:tcPr>
            <w:tcW w:w="24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妇幼保健医院</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553.9</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553.9</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543.1</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10.8</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210</w:t>
            </w: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11</w:t>
            </w:r>
          </w:p>
        </w:tc>
        <w:tc>
          <w:tcPr>
            <w:tcW w:w="1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02</w:t>
            </w:r>
          </w:p>
        </w:tc>
        <w:tc>
          <w:tcPr>
            <w:tcW w:w="24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事业单位医疗</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27.6</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27.6</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27.6</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210</w:t>
            </w: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11</w:t>
            </w:r>
          </w:p>
        </w:tc>
        <w:tc>
          <w:tcPr>
            <w:tcW w:w="1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99</w:t>
            </w:r>
          </w:p>
        </w:tc>
        <w:tc>
          <w:tcPr>
            <w:tcW w:w="24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其他行政事业单位医疗支出</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10.8</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10.8</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10.8</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221</w:t>
            </w: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02</w:t>
            </w:r>
          </w:p>
        </w:tc>
        <w:tc>
          <w:tcPr>
            <w:tcW w:w="16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01</w:t>
            </w:r>
          </w:p>
        </w:tc>
        <w:tc>
          <w:tcPr>
            <w:tcW w:w="24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0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住房公积金</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2798"/>
        <w:gridCol w:w="1332"/>
        <w:gridCol w:w="2798"/>
        <w:gridCol w:w="1399"/>
        <w:gridCol w:w="1399"/>
        <w:gridCol w:w="1399"/>
        <w:gridCol w:w="1407"/>
        <w:gridCol w:w="1403"/>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5000" w:type="pct"/>
            <w:gridSpan w:val="8"/>
            <w:tcBorders>
              <w:top w:val="nil"/>
              <w:left w:val="nil"/>
              <w:bottom w:val="nil"/>
              <w:right w:val="nil"/>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预算04表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8"/>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bdr w:val="none" w:color="auto" w:sz="0" w:space="0"/>
                <w:lang w:val="en-US" w:eastAsia="zh-CN" w:bidi="ar"/>
              </w:rPr>
              <w:t>2024年财政拨款收支总体情况表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497" w:type="pct"/>
            <w:gridSpan w:val="7"/>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周口市川汇区妇幼保健计划生育服务中心</w:t>
            </w:r>
          </w:p>
        </w:tc>
        <w:tc>
          <w:tcPr>
            <w:tcW w:w="502" w:type="pct"/>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1482"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收入  </w:t>
            </w:r>
          </w:p>
        </w:tc>
        <w:tc>
          <w:tcPr>
            <w:tcW w:w="3517" w:type="pct"/>
            <w:gridSpan w:val="6"/>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支出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100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项 目  </w:t>
            </w:r>
          </w:p>
        </w:tc>
        <w:tc>
          <w:tcPr>
            <w:tcW w:w="477"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金　额</w:t>
            </w:r>
          </w:p>
        </w:tc>
        <w:tc>
          <w:tcPr>
            <w:tcW w:w="100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项 目  </w:t>
            </w:r>
          </w:p>
        </w:tc>
        <w:tc>
          <w:tcPr>
            <w:tcW w:w="50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100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一般公共预算  </w:t>
            </w:r>
          </w:p>
        </w:tc>
        <w:tc>
          <w:tcPr>
            <w:tcW w:w="503"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政府性基金  </w:t>
            </w:r>
          </w:p>
        </w:tc>
        <w:tc>
          <w:tcPr>
            <w:tcW w:w="50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国有资本经营预算</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100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0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小计  </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其中：财政拨款</w:t>
            </w:r>
          </w:p>
        </w:tc>
        <w:tc>
          <w:tcPr>
            <w:tcW w:w="503"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50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一、本年收入</w:t>
            </w: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一、本年支出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（一）一般公共预算拨款</w:t>
            </w: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（一）一般公共服务支出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其中：财政拨款</w:t>
            </w: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（二）外交支出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（二）政府性基金预算拨款</w:t>
            </w: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（三）国防支出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（三）国有资本经营预算拨款</w:t>
            </w: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（四）公共安全支出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二、上年结转</w:t>
            </w: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（五）教育支出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（一）一般公共预算拨款</w:t>
            </w: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（六）科学技术支出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（二）政府性基金预算拨款</w:t>
            </w: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（七）文化体育旅游与传媒支出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（三）国有资本经营预算拨款</w:t>
            </w: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（八）社会保障和就业支出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88.9</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88.9</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88.9</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（九）医疗卫生与计划生育支出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（十）卫生健康支出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592.3</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592.3</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592.3</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（十一）节能环保支出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（十二）城乡社区事务支出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（十三）农林水事务支出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（十四）交通运输支出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（十五）资源勘探信息等支出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（十六）商业服务业等支出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（十七）金融支出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（十九）援助其他地区支出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（二十）自然资源海洋气象等支出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（二十一）住房保障支出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（二十二）粮油物资储备支出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（二十三）国有资本经营预算</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（二十四）灾害防治及应急管理</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（二十七）预备费</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（二十九）其他支出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（三十）转移性支出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（三十一）债务还本支出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（三十二）债务付息支出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（三十三）债务发行费用支出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2"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（三十四）抗疫特别国债安排的支出</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二、年终结转结余</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收入合计：</w:t>
            </w:r>
          </w:p>
        </w:tc>
        <w:tc>
          <w:tcPr>
            <w:tcW w:w="47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100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支出合计</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50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5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86"/>
        <w:gridCol w:w="421"/>
        <w:gridCol w:w="430"/>
        <w:gridCol w:w="639"/>
        <w:gridCol w:w="2144"/>
        <w:gridCol w:w="1338"/>
        <w:gridCol w:w="1338"/>
        <w:gridCol w:w="1018"/>
        <w:gridCol w:w="1018"/>
        <w:gridCol w:w="1018"/>
        <w:gridCol w:w="1022"/>
        <w:gridCol w:w="1019"/>
        <w:gridCol w:w="1022"/>
        <w:gridCol w:w="102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5000" w:type="pct"/>
            <w:gridSpan w:val="14"/>
            <w:tcBorders>
              <w:top w:val="nil"/>
              <w:left w:val="nil"/>
              <w:bottom w:val="nil"/>
              <w:right w:val="nil"/>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预算05表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9" w:hRule="atLeast"/>
        </w:trPr>
        <w:tc>
          <w:tcPr>
            <w:tcW w:w="5000" w:type="pct"/>
            <w:gridSpan w:val="14"/>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bdr w:val="none" w:color="auto" w:sz="0" w:space="0"/>
                <w:lang w:val="en-US" w:eastAsia="zh-CN" w:bidi="ar"/>
              </w:rPr>
              <w:t>2024年一般公共预算支出情况表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4632" w:type="pct"/>
            <w:gridSpan w:val="13"/>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周口市川汇区妇幼保健计划生育服务中心</w:t>
            </w:r>
          </w:p>
        </w:tc>
        <w:tc>
          <w:tcPr>
            <w:tcW w:w="367" w:type="pct"/>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462"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科目编码</w:t>
            </w:r>
          </w:p>
        </w:tc>
        <w:tc>
          <w:tcPr>
            <w:tcW w:w="23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单位代码</w:t>
            </w:r>
          </w:p>
        </w:tc>
        <w:tc>
          <w:tcPr>
            <w:tcW w:w="77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单位（科目名称）</w:t>
            </w:r>
          </w:p>
        </w:tc>
        <w:tc>
          <w:tcPr>
            <w:tcW w:w="48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1950" w:type="pct"/>
            <w:gridSpan w:val="5"/>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基本支出  </w:t>
            </w:r>
          </w:p>
        </w:tc>
        <w:tc>
          <w:tcPr>
            <w:tcW w:w="1102"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46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8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8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小计</w:t>
            </w:r>
          </w:p>
        </w:tc>
        <w:tc>
          <w:tcPr>
            <w:tcW w:w="73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人员经费</w:t>
            </w:r>
          </w:p>
        </w:tc>
        <w:tc>
          <w:tcPr>
            <w:tcW w:w="73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公用经费</w:t>
            </w:r>
          </w:p>
        </w:tc>
        <w:tc>
          <w:tcPr>
            <w:tcW w:w="367"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小计</w:t>
            </w:r>
          </w:p>
        </w:tc>
        <w:tc>
          <w:tcPr>
            <w:tcW w:w="367"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其他运转类</w:t>
            </w:r>
          </w:p>
        </w:tc>
        <w:tc>
          <w:tcPr>
            <w:tcW w:w="367"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特定目标类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78" w:hRule="atLeast"/>
        </w:trPr>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类</w:t>
            </w:r>
          </w:p>
        </w:tc>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款</w:t>
            </w:r>
          </w:p>
        </w:tc>
        <w:tc>
          <w:tcPr>
            <w:tcW w:w="15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项</w:t>
            </w:r>
          </w:p>
        </w:tc>
        <w:tc>
          <w:tcPr>
            <w:tcW w:w="23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8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8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对个人和家庭的补助</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商品和服务支出</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资本性支出</w:t>
            </w:r>
          </w:p>
        </w:tc>
        <w:tc>
          <w:tcPr>
            <w:tcW w:w="367"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67"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w:t>
            </w:r>
          </w:p>
        </w:tc>
        <w:tc>
          <w:tcPr>
            <w:tcW w:w="153"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5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31"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703.1</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19.4</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2" w:hRule="atLeast"/>
        </w:trPr>
        <w:tc>
          <w:tcPr>
            <w:tcW w:w="153"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53"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5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23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501</w:t>
            </w:r>
          </w:p>
        </w:tc>
        <w:tc>
          <w:tcPr>
            <w:tcW w:w="7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周口市川汇区卫生健康委员会</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703.1</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19.4</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201</w:t>
            </w:r>
          </w:p>
        </w:tc>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29</w:t>
            </w:r>
          </w:p>
        </w:tc>
        <w:tc>
          <w:tcPr>
            <w:tcW w:w="15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06</w:t>
            </w:r>
          </w:p>
        </w:tc>
        <w:tc>
          <w:tcPr>
            <w:tcW w:w="23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工会事务</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208</w:t>
            </w:r>
          </w:p>
        </w:tc>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05</w:t>
            </w:r>
          </w:p>
        </w:tc>
        <w:tc>
          <w:tcPr>
            <w:tcW w:w="15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02</w:t>
            </w:r>
          </w:p>
        </w:tc>
        <w:tc>
          <w:tcPr>
            <w:tcW w:w="23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事业单位离退休</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2" w:hRule="atLeast"/>
        </w:trPr>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208</w:t>
            </w:r>
          </w:p>
        </w:tc>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05</w:t>
            </w:r>
          </w:p>
        </w:tc>
        <w:tc>
          <w:tcPr>
            <w:tcW w:w="15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05</w:t>
            </w:r>
          </w:p>
        </w:tc>
        <w:tc>
          <w:tcPr>
            <w:tcW w:w="23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机关事业单位基本养老保险缴费支出</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69.1</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69.1</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69.1</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208</w:t>
            </w:r>
          </w:p>
        </w:tc>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99</w:t>
            </w:r>
          </w:p>
        </w:tc>
        <w:tc>
          <w:tcPr>
            <w:tcW w:w="15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99</w:t>
            </w:r>
          </w:p>
        </w:tc>
        <w:tc>
          <w:tcPr>
            <w:tcW w:w="23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其他社会保障和就业支出</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5.2</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5.2</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5.2</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210</w:t>
            </w:r>
          </w:p>
        </w:tc>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02</w:t>
            </w:r>
          </w:p>
        </w:tc>
        <w:tc>
          <w:tcPr>
            <w:tcW w:w="15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06</w:t>
            </w:r>
          </w:p>
        </w:tc>
        <w:tc>
          <w:tcPr>
            <w:tcW w:w="23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妇幼保健医院</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553.9</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553.9</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543.1</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10.8</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210</w:t>
            </w:r>
          </w:p>
        </w:tc>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11</w:t>
            </w:r>
          </w:p>
        </w:tc>
        <w:tc>
          <w:tcPr>
            <w:tcW w:w="15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02</w:t>
            </w:r>
          </w:p>
        </w:tc>
        <w:tc>
          <w:tcPr>
            <w:tcW w:w="23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事业单位医疗</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27.6</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27.6</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27.6</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210</w:t>
            </w:r>
          </w:p>
        </w:tc>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11</w:t>
            </w:r>
          </w:p>
        </w:tc>
        <w:tc>
          <w:tcPr>
            <w:tcW w:w="15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99</w:t>
            </w:r>
          </w:p>
        </w:tc>
        <w:tc>
          <w:tcPr>
            <w:tcW w:w="23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其他行政事业单位医疗支出</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10.8</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10.8</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10.8</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221</w:t>
            </w:r>
          </w:p>
        </w:tc>
        <w:tc>
          <w:tcPr>
            <w:tcW w:w="15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02</w:t>
            </w:r>
          </w:p>
        </w:tc>
        <w:tc>
          <w:tcPr>
            <w:tcW w:w="15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01</w:t>
            </w:r>
          </w:p>
        </w:tc>
        <w:tc>
          <w:tcPr>
            <w:tcW w:w="23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7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住房公积金</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48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6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3897" w:type="pct"/>
            <w:gridSpan w:val="11"/>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备注：本表仅含当年财政拨款安排的支出</w:t>
            </w:r>
          </w:p>
        </w:tc>
        <w:tc>
          <w:tcPr>
            <w:tcW w:w="367"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367"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367"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r>
    </w:tbl>
    <w:p>
      <w:pPr>
        <w:adjustRightInd w:val="0"/>
        <w:snapToGrid w:val="0"/>
        <w:spacing w:line="640" w:lineRule="exact"/>
        <w:rPr>
          <w:rFonts w:hint="eastAsia" w:ascii="仿宋_GB2312" w:hAnsi="仿宋_GB2312" w:eastAsia="仿宋_GB2312" w:cs="仿宋_GB2312"/>
          <w:sz w:val="32"/>
          <w:szCs w:val="32"/>
        </w:rPr>
      </w:pPr>
    </w:p>
    <w:tbl>
      <w:tblPr>
        <w:tblpPr w:leftFromText="180" w:rightFromText="180" w:vertAnchor="text" w:horzAnchor="page" w:tblpX="1502" w:tblpY="644"/>
        <w:tblOverlap w:val="neve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814"/>
        <w:gridCol w:w="2425"/>
        <w:gridCol w:w="1814"/>
        <w:gridCol w:w="2425"/>
        <w:gridCol w:w="1814"/>
        <w:gridCol w:w="1825"/>
        <w:gridCol w:w="181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5000" w:type="pct"/>
            <w:gridSpan w:val="7"/>
            <w:tcBorders>
              <w:top w:val="nil"/>
              <w:left w:val="nil"/>
              <w:bottom w:val="nil"/>
              <w:right w:val="nil"/>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预算06表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9" w:hRule="atLeast"/>
        </w:trPr>
        <w:tc>
          <w:tcPr>
            <w:tcW w:w="5000" w:type="pct"/>
            <w:gridSpan w:val="7"/>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bdr w:val="none" w:color="auto" w:sz="0" w:space="0"/>
                <w:lang w:val="en-US" w:eastAsia="zh-CN" w:bidi="ar"/>
              </w:rPr>
              <w:t>2024年一般公共预算基本支出表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4347" w:type="pct"/>
            <w:gridSpan w:val="6"/>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周口市川汇区妇幼保健计划生育服务中心</w:t>
            </w:r>
          </w:p>
        </w:tc>
        <w:tc>
          <w:tcPr>
            <w:tcW w:w="652" w:type="pct"/>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1521"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部门预算支出经济分类科目</w:t>
            </w:r>
          </w:p>
        </w:tc>
        <w:tc>
          <w:tcPr>
            <w:tcW w:w="1521"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政府预算支出经济分类科目编码</w:t>
            </w:r>
          </w:p>
        </w:tc>
        <w:tc>
          <w:tcPr>
            <w:tcW w:w="1957"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本年一般公共预算基本支出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科目编码</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科目名称</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科目编码</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科目名称</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人员经费</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717.7</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30228</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工会经费</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50502</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商品和服务支出</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30302</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退休费</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50905</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离退休费</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2" w:hRule="atLeast"/>
        </w:trPr>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30108</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机关事业单位基本养老保险缴费</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69.1</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69.1</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30112</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其他社会保障缴费</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5.9</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5.9</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30103</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奖金</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98.3</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98.3</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30101</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基本工资</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299.8</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299.8</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30107</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绩效工资</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123.3</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123.3</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30102</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津贴补贴</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21.6</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21.6</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30229</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福利费</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50502</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商品和服务支出</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10.8</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30110</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职工基本医疗保险缴费</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37.7</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37.7</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30113</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住房公积金</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50501</w:t>
            </w:r>
          </w:p>
        </w:tc>
        <w:tc>
          <w:tcPr>
            <w:tcW w:w="8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65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65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86"/>
        <w:gridCol w:w="396"/>
        <w:gridCol w:w="1020"/>
        <w:gridCol w:w="486"/>
        <w:gridCol w:w="396"/>
        <w:gridCol w:w="1020"/>
        <w:gridCol w:w="842"/>
        <w:gridCol w:w="842"/>
        <w:gridCol w:w="842"/>
        <w:gridCol w:w="842"/>
        <w:gridCol w:w="842"/>
        <w:gridCol w:w="842"/>
        <w:gridCol w:w="842"/>
        <w:gridCol w:w="843"/>
        <w:gridCol w:w="843"/>
        <w:gridCol w:w="843"/>
        <w:gridCol w:w="868"/>
        <w:gridCol w:w="8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5000" w:type="pct"/>
            <w:gridSpan w:val="18"/>
            <w:tcBorders>
              <w:top w:val="nil"/>
              <w:left w:val="nil"/>
              <w:bottom w:val="nil"/>
              <w:right w:val="nil"/>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预算07表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18"/>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bdr w:val="none" w:color="auto" w:sz="0" w:space="0"/>
                <w:lang w:val="en-US" w:eastAsia="zh-CN" w:bidi="ar"/>
              </w:rPr>
              <w:t>2024年支出经济分类汇总表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4687" w:type="pct"/>
            <w:gridSpan w:val="17"/>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周口市川汇区妇幼保健计划生育服务中心</w:t>
            </w:r>
          </w:p>
        </w:tc>
        <w:tc>
          <w:tcPr>
            <w:tcW w:w="312" w:type="pct"/>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624"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部门预算经济分类  </w:t>
            </w:r>
          </w:p>
        </w:tc>
        <w:tc>
          <w:tcPr>
            <w:tcW w:w="624"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政府预算经济分类</w:t>
            </w:r>
          </w:p>
        </w:tc>
        <w:tc>
          <w:tcPr>
            <w:tcW w:w="31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总计</w:t>
            </w:r>
          </w:p>
        </w:tc>
        <w:tc>
          <w:tcPr>
            <w:tcW w:w="62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一般公共预算</w:t>
            </w:r>
          </w:p>
        </w:tc>
        <w:tc>
          <w:tcPr>
            <w:tcW w:w="31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政府性基金</w:t>
            </w:r>
          </w:p>
        </w:tc>
        <w:tc>
          <w:tcPr>
            <w:tcW w:w="31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国有资本经营预算</w:t>
            </w:r>
          </w:p>
        </w:tc>
        <w:tc>
          <w:tcPr>
            <w:tcW w:w="31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上年结转结余</w:t>
            </w:r>
          </w:p>
        </w:tc>
        <w:tc>
          <w:tcPr>
            <w:tcW w:w="31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财政专户管理资金收入</w:t>
            </w:r>
          </w:p>
        </w:tc>
        <w:tc>
          <w:tcPr>
            <w:tcW w:w="31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事业收入</w:t>
            </w:r>
          </w:p>
        </w:tc>
        <w:tc>
          <w:tcPr>
            <w:tcW w:w="31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上级补助收入</w:t>
            </w:r>
          </w:p>
        </w:tc>
        <w:tc>
          <w:tcPr>
            <w:tcW w:w="31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附属单位上缴收入</w:t>
            </w:r>
          </w:p>
        </w:tc>
        <w:tc>
          <w:tcPr>
            <w:tcW w:w="316"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事业单位经营收入</w:t>
            </w:r>
          </w:p>
        </w:tc>
        <w:tc>
          <w:tcPr>
            <w:tcW w:w="31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其他收入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5"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类</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款</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科目名称</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类</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款</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科目名称</w:t>
            </w:r>
          </w:p>
        </w:tc>
        <w:tc>
          <w:tcPr>
            <w:tcW w:w="31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小计</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其中：财政拨款</w:t>
            </w:r>
          </w:p>
        </w:tc>
        <w:tc>
          <w:tcPr>
            <w:tcW w:w="31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1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1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25"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2"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501</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周口市川汇区卫生健康委员会</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737.2</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28</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工会经费</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02</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商品和服务支出</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8.6</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303</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02</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退休费</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509</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05</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离退休费</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14.6</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08</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机关事业单位基本养老保险缴费</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69.1</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69.1</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69.1</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12</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其他社会保障缴费</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5.9</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5.9</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5.9</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03</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奖金</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98.3</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98.3</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98.3</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基本工资</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299.8</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299.8</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299.8</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07</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绩效工资</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123.3</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123.3</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123.3</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02</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津贴补贴</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21.6</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21.6</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21.6</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302</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29</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福利费</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02</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商品和服务支出</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10.8</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10.8</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10.8</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2"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10</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职工基本医疗保险缴费</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37.7</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37.7</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37.7</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301</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13</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住房公积金</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505</w:t>
            </w:r>
          </w:p>
        </w:tc>
        <w:tc>
          <w:tcPr>
            <w:tcW w:w="12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01</w:t>
            </w:r>
          </w:p>
        </w:tc>
        <w:tc>
          <w:tcPr>
            <w:tcW w:w="37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47.4</w:t>
            </w: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1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2321"/>
        <w:gridCol w:w="2322"/>
        <w:gridCol w:w="2322"/>
        <w:gridCol w:w="2322"/>
        <w:gridCol w:w="2324"/>
        <w:gridCol w:w="23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5000" w:type="pct"/>
            <w:gridSpan w:val="6"/>
            <w:tcBorders>
              <w:top w:val="nil"/>
              <w:left w:val="nil"/>
              <w:bottom w:val="nil"/>
              <w:right w:val="nil"/>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预算08表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9" w:hRule="atLeast"/>
        </w:trPr>
        <w:tc>
          <w:tcPr>
            <w:tcW w:w="5000" w:type="pct"/>
            <w:gridSpan w:val="6"/>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bdr w:val="none" w:color="auto" w:sz="0" w:space="0"/>
                <w:lang w:val="en-US" w:eastAsia="zh-CN" w:bidi="ar"/>
              </w:rPr>
              <w:t>2024年一般公共预算“三公”经费支出情况表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4166" w:type="pct"/>
            <w:gridSpan w:val="5"/>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周口市川汇区妇幼保健计划生育服务中心</w:t>
            </w:r>
          </w:p>
        </w:tc>
        <w:tc>
          <w:tcPr>
            <w:tcW w:w="833" w:type="pct"/>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833"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“三公”经费合计</w:t>
            </w:r>
          </w:p>
        </w:tc>
        <w:tc>
          <w:tcPr>
            <w:tcW w:w="833"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因公出国（境）费</w:t>
            </w:r>
          </w:p>
        </w:tc>
        <w:tc>
          <w:tcPr>
            <w:tcW w:w="2500"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公务用车购置及运行费</w:t>
            </w:r>
          </w:p>
        </w:tc>
        <w:tc>
          <w:tcPr>
            <w:tcW w:w="833"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公务接待费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833"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33"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3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小计</w:t>
            </w:r>
          </w:p>
        </w:tc>
        <w:tc>
          <w:tcPr>
            <w:tcW w:w="83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公务用车购置费</w:t>
            </w:r>
          </w:p>
        </w:tc>
        <w:tc>
          <w:tcPr>
            <w:tcW w:w="83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公务用车运行费</w:t>
            </w:r>
          </w:p>
        </w:tc>
        <w:tc>
          <w:tcPr>
            <w:tcW w:w="833"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83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83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83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83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83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83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1447" w:hRule="atLeast"/>
        </w:trPr>
        <w:tc>
          <w:tcPr>
            <w:tcW w:w="5000" w:type="pct"/>
            <w:gridSpan w:val="6"/>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注：按照党中央、国务院有关规定及部门预算管理有关规定，“三公”经费包括因公出国（境）费、公务用车购置及运行费和公务接待费。（1）因公出国（境）费，指单位工作人员公务出国（境）的住宿费、旅费、伙食补助费、杂费、培训费等支出。（2）公务用车购置及运行费，指单位公务用车购置费及租用费、燃料费、维修费、过路过桥费、保险费、安全奖励费用等支出，公务用车指用于履行公务的机动车辆，包括领导干部专车、一般公务用车和执法执勤用车。（3）公务接待费，指单位按规定开支的各类公务接待（含外宾接待）支出。</w:t>
            </w:r>
          </w:p>
        </w:tc>
      </w:tr>
    </w:tbl>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sectPr>
          <w:pgSz w:w="16838" w:h="11906" w:orient="landscape"/>
          <w:pgMar w:top="1644" w:right="1701" w:bottom="1644" w:left="1418" w:header="851" w:footer="992" w:gutter="0"/>
          <w:pgNumType w:fmt="numberInDash"/>
          <w:cols w:space="720" w:num="1"/>
          <w:docGrid w:type="lines" w:linePitch="312" w:charSpace="0"/>
        </w:sectPr>
      </w:pPr>
    </w:p>
    <w:p>
      <w:pPr>
        <w:adjustRightInd w:val="0"/>
        <w:snapToGrid w:val="0"/>
        <w:spacing w:line="640" w:lineRule="exact"/>
        <w:ind w:firstLine="640" w:firstLineChars="200"/>
        <w:rPr>
          <w:rFonts w:hint="eastAsia" w:ascii="仿宋_GB2312" w:hAnsi="仿宋_GB2312" w:eastAsia="仿宋_GB2312" w:cs="仿宋_GB2312"/>
          <w:sz w:val="32"/>
          <w:szCs w:val="32"/>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446"/>
        <w:gridCol w:w="446"/>
        <w:gridCol w:w="451"/>
        <w:gridCol w:w="672"/>
        <w:gridCol w:w="2244"/>
        <w:gridCol w:w="1067"/>
        <w:gridCol w:w="1067"/>
        <w:gridCol w:w="1067"/>
        <w:gridCol w:w="1067"/>
        <w:gridCol w:w="1067"/>
        <w:gridCol w:w="1073"/>
        <w:gridCol w:w="1067"/>
        <w:gridCol w:w="1082"/>
        <w:gridCol w:w="111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5000" w:type="pct"/>
            <w:gridSpan w:val="14"/>
            <w:tcBorders>
              <w:top w:val="nil"/>
              <w:left w:val="nil"/>
              <w:bottom w:val="nil"/>
              <w:right w:val="nil"/>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预算09表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9" w:hRule="atLeast"/>
        </w:trPr>
        <w:tc>
          <w:tcPr>
            <w:tcW w:w="5000" w:type="pct"/>
            <w:gridSpan w:val="14"/>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bdr w:val="none" w:color="auto" w:sz="0" w:space="0"/>
                <w:lang w:val="en-US" w:eastAsia="zh-CN" w:bidi="ar"/>
              </w:rPr>
              <w:t>2024年政府性基金预算支出情况表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90" w:hRule="atLeast"/>
        </w:trPr>
        <w:tc>
          <w:tcPr>
            <w:tcW w:w="4597" w:type="pct"/>
            <w:gridSpan w:val="13"/>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周口市川汇区妇幼保健计划生育服务中心</w:t>
            </w:r>
          </w:p>
        </w:tc>
        <w:tc>
          <w:tcPr>
            <w:tcW w:w="402" w:type="pct"/>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482" w:type="pct"/>
            <w:gridSpan w:val="3"/>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科目编码</w:t>
            </w:r>
          </w:p>
        </w:tc>
        <w:tc>
          <w:tcPr>
            <w:tcW w:w="241"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单位代码</w:t>
            </w:r>
          </w:p>
        </w:tc>
        <w:tc>
          <w:tcPr>
            <w:tcW w:w="80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单位（科目名称）</w:t>
            </w:r>
          </w:p>
        </w:tc>
        <w:tc>
          <w:tcPr>
            <w:tcW w:w="383"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1917" w:type="pct"/>
            <w:gridSpan w:val="5"/>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基本支出  </w:t>
            </w:r>
          </w:p>
        </w:tc>
        <w:tc>
          <w:tcPr>
            <w:tcW w:w="1170"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482" w:type="pct"/>
            <w:gridSpan w:val="3"/>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4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0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83"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小计</w:t>
            </w:r>
          </w:p>
        </w:tc>
        <w:tc>
          <w:tcPr>
            <w:tcW w:w="766"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人员经费</w:t>
            </w:r>
          </w:p>
        </w:tc>
        <w:tc>
          <w:tcPr>
            <w:tcW w:w="767"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公用经费</w:t>
            </w:r>
          </w:p>
        </w:tc>
        <w:tc>
          <w:tcPr>
            <w:tcW w:w="383"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小计</w:t>
            </w:r>
          </w:p>
        </w:tc>
        <w:tc>
          <w:tcPr>
            <w:tcW w:w="383"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其他运转类</w:t>
            </w:r>
          </w:p>
        </w:tc>
        <w:tc>
          <w:tcPr>
            <w:tcW w:w="40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特定目标类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678" w:hRule="atLeast"/>
        </w:trPr>
        <w:tc>
          <w:tcPr>
            <w:tcW w:w="16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类</w:t>
            </w:r>
          </w:p>
        </w:tc>
        <w:tc>
          <w:tcPr>
            <w:tcW w:w="16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款</w:t>
            </w: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项</w:t>
            </w:r>
          </w:p>
        </w:tc>
        <w:tc>
          <w:tcPr>
            <w:tcW w:w="241"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0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工资福利支出</w:t>
            </w: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对个人和家庭的补助</w:t>
            </w: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商品和服务支出</w:t>
            </w: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资本性支出</w:t>
            </w:r>
          </w:p>
        </w:tc>
        <w:tc>
          <w:tcPr>
            <w:tcW w:w="383"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383"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0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16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w:t>
            </w:r>
          </w:p>
        </w:tc>
        <w:tc>
          <w:tcPr>
            <w:tcW w:w="160"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41"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80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160"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60"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24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05"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160"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60"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16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24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805"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383"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0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sectPr>
          <w:pgSz w:w="16838" w:h="11906" w:orient="landscape"/>
          <w:pgMar w:top="1644" w:right="1701" w:bottom="1644" w:left="1418" w:header="851" w:footer="992" w:gutter="0"/>
          <w:pgNumType w:fmt="numberInDash"/>
          <w:cols w:space="720" w:num="1"/>
          <w:docGrid w:type="lines" w:linePitch="312" w:charSpace="0"/>
        </w:sect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153"/>
        <w:gridCol w:w="1154"/>
        <w:gridCol w:w="1154"/>
        <w:gridCol w:w="1154"/>
        <w:gridCol w:w="1154"/>
        <w:gridCol w:w="1154"/>
        <w:gridCol w:w="1159"/>
        <w:gridCol w:w="1154"/>
        <w:gridCol w:w="1157"/>
        <w:gridCol w:w="1159"/>
        <w:gridCol w:w="1173"/>
        <w:gridCol w:w="121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5000" w:type="pct"/>
            <w:gridSpan w:val="12"/>
            <w:tcBorders>
              <w:top w:val="nil"/>
              <w:left w:val="nil"/>
              <w:bottom w:val="nil"/>
              <w:right w:val="nil"/>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预算10表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12"/>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bdr w:val="none" w:color="auto" w:sz="0" w:space="0"/>
                <w:lang w:val="en-US" w:eastAsia="zh-CN" w:bidi="ar"/>
              </w:rPr>
              <w:t>2024年项目支出表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563" w:type="pct"/>
            <w:gridSpan w:val="11"/>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周口市川汇区妇幼保健计划生育服务中心</w:t>
            </w:r>
          </w:p>
        </w:tc>
        <w:tc>
          <w:tcPr>
            <w:tcW w:w="436" w:type="pct"/>
            <w:tcBorders>
              <w:top w:val="nil"/>
              <w:left w:val="nil"/>
              <w:bottom w:val="nil"/>
              <w:right w:val="nil"/>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5" w:hRule="atLeast"/>
        </w:trPr>
        <w:tc>
          <w:tcPr>
            <w:tcW w:w="41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类型</w:t>
            </w:r>
          </w:p>
        </w:tc>
        <w:tc>
          <w:tcPr>
            <w:tcW w:w="41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项目名称</w:t>
            </w:r>
          </w:p>
        </w:tc>
        <w:tc>
          <w:tcPr>
            <w:tcW w:w="41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项目单位</w:t>
            </w:r>
          </w:p>
        </w:tc>
        <w:tc>
          <w:tcPr>
            <w:tcW w:w="414"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合计</w:t>
            </w:r>
          </w:p>
        </w:tc>
        <w:tc>
          <w:tcPr>
            <w:tcW w:w="1244"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本年拨款</w:t>
            </w:r>
          </w:p>
        </w:tc>
        <w:tc>
          <w:tcPr>
            <w:tcW w:w="1245" w:type="pct"/>
            <w:gridSpan w:val="3"/>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财政拨款结转结余</w:t>
            </w:r>
          </w:p>
        </w:tc>
        <w:tc>
          <w:tcPr>
            <w:tcW w:w="415"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财政专户管理资金</w:t>
            </w:r>
          </w:p>
        </w:tc>
        <w:tc>
          <w:tcPr>
            <w:tcW w:w="436"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452" w:hRule="atLeast"/>
        </w:trPr>
        <w:tc>
          <w:tcPr>
            <w:tcW w:w="41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1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1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14"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一般公共预算</w:t>
            </w: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政府性基金预算</w:t>
            </w: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国有资本经营预算</w:t>
            </w: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一般公共预算</w:t>
            </w:r>
          </w:p>
        </w:tc>
        <w:tc>
          <w:tcPr>
            <w:tcW w:w="41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政府性基金预算</w:t>
            </w:r>
          </w:p>
        </w:tc>
        <w:tc>
          <w:tcPr>
            <w:tcW w:w="41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国有资本经营预算</w:t>
            </w:r>
          </w:p>
        </w:tc>
        <w:tc>
          <w:tcPr>
            <w:tcW w:w="415"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36"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1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3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1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3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41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4"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15"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36"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ind w:firstLine="640" w:firstLineChars="200"/>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tbl>
      <w:tblPr>
        <w:tblW w:w="4998"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999"/>
        <w:gridCol w:w="2145"/>
        <w:gridCol w:w="3257"/>
        <w:gridCol w:w="1736"/>
        <w:gridCol w:w="47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770"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1169"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623" w:type="pct"/>
            <w:tcBorders>
              <w:top w:val="nil"/>
              <w:left w:val="nil"/>
              <w:bottom w:val="nil"/>
              <w:right w:val="nil"/>
            </w:tcBorders>
            <w:shd w:val="clear"/>
            <w:noWrap/>
            <w:vAlign w:val="center"/>
          </w:tcPr>
          <w:p>
            <w:pPr>
              <w:rPr>
                <w:rFonts w:hint="eastAsia" w:ascii="宋体" w:hAnsi="宋体" w:eastAsia="宋体" w:cs="宋体"/>
                <w:i w:val="0"/>
                <w:iCs w:val="0"/>
                <w:color w:val="000000"/>
                <w:sz w:val="22"/>
                <w:szCs w:val="22"/>
                <w:u w:val="none"/>
              </w:rPr>
            </w:pPr>
          </w:p>
        </w:tc>
        <w:tc>
          <w:tcPr>
            <w:tcW w:w="1719" w:type="pct"/>
            <w:tcBorders>
              <w:top w:val="nil"/>
              <w:left w:val="nil"/>
              <w:bottom w:val="nil"/>
              <w:right w:val="nil"/>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预算11表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569" w:hRule="atLeast"/>
        </w:trPr>
        <w:tc>
          <w:tcPr>
            <w:tcW w:w="5000" w:type="pct"/>
            <w:gridSpan w:val="5"/>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bdr w:val="none" w:color="auto" w:sz="0" w:space="0"/>
                <w:lang w:val="en-US" w:eastAsia="zh-CN" w:bidi="ar"/>
              </w:rPr>
              <w:t>部门（单位）整体绩效目标表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5000" w:type="pct"/>
            <w:gridSpan w:val="5"/>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b/>
                <w:bCs/>
                <w:i w:val="0"/>
                <w:iCs w:val="0"/>
                <w:color w:val="000000"/>
                <w:sz w:val="24"/>
                <w:szCs w:val="24"/>
                <w:u w:val="none"/>
              </w:rPr>
            </w:pPr>
            <w:r>
              <w:rPr>
                <w:rFonts w:ascii="宋体" w:hAnsi="宋体" w:eastAsia="宋体" w:cs="宋体"/>
                <w:b/>
                <w:bCs/>
                <w:i w:val="0"/>
                <w:iCs w:val="0"/>
                <w:color w:val="000000"/>
                <w:kern w:val="0"/>
                <w:sz w:val="24"/>
                <w:szCs w:val="24"/>
                <w:u w:val="none"/>
                <w:bdr w:val="none" w:color="auto" w:sz="0" w:space="0"/>
                <w:lang w:val="en-US" w:eastAsia="zh-CN" w:bidi="ar"/>
              </w:rPr>
              <w:t>（2024年度）</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5000" w:type="pct"/>
            <w:gridSpan w:val="5"/>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周口市川汇区妇幼保健计划生育服务中心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854" w:hRule="atLeast"/>
        </w:trPr>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年度履职目标</w:t>
            </w:r>
          </w:p>
        </w:tc>
        <w:tc>
          <w:tcPr>
            <w:tcW w:w="4281" w:type="pct"/>
            <w:gridSpan w:val="4"/>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年度主要任务</w:t>
            </w:r>
          </w:p>
        </w:tc>
        <w:tc>
          <w:tcPr>
            <w:tcW w:w="193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任务名称</w:t>
            </w:r>
          </w:p>
        </w:tc>
        <w:tc>
          <w:tcPr>
            <w:tcW w:w="2342"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主要内容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939" w:type="pct"/>
            <w:gridSpan w:val="2"/>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2342" w:type="pct"/>
            <w:gridSpan w:val="2"/>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预算情况  </w:t>
            </w:r>
          </w:p>
        </w:tc>
        <w:tc>
          <w:tcPr>
            <w:tcW w:w="193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部门预算总额（万元）</w:t>
            </w:r>
          </w:p>
        </w:tc>
        <w:tc>
          <w:tcPr>
            <w:tcW w:w="2342"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1、资金来源：</w:t>
            </w:r>
          </w:p>
        </w:tc>
        <w:tc>
          <w:tcPr>
            <w:tcW w:w="1169"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（1）政府预算资金</w:t>
            </w:r>
          </w:p>
        </w:tc>
        <w:tc>
          <w:tcPr>
            <w:tcW w:w="2342"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nil"/>
            </w:tcBorders>
            <w:shd w:val="clear"/>
            <w:vAlign w:val="center"/>
          </w:tcPr>
          <w:p>
            <w:pPr>
              <w:rPr>
                <w:rFonts w:hint="eastAsia" w:ascii="宋体" w:hAnsi="宋体" w:eastAsia="宋体" w:cs="宋体"/>
                <w:i w:val="0"/>
                <w:iCs w:val="0"/>
                <w:color w:val="000000"/>
                <w:sz w:val="18"/>
                <w:szCs w:val="18"/>
                <w:u w:val="none"/>
              </w:rPr>
            </w:pPr>
          </w:p>
        </w:tc>
        <w:tc>
          <w:tcPr>
            <w:tcW w:w="1169"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（2）财政专户管理资金</w:t>
            </w:r>
          </w:p>
        </w:tc>
        <w:tc>
          <w:tcPr>
            <w:tcW w:w="2342"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nil"/>
            </w:tcBorders>
            <w:shd w:val="clear"/>
            <w:vAlign w:val="center"/>
          </w:tcPr>
          <w:p>
            <w:pPr>
              <w:rPr>
                <w:rFonts w:hint="eastAsia" w:ascii="宋体" w:hAnsi="宋体" w:eastAsia="宋体" w:cs="宋体"/>
                <w:i w:val="0"/>
                <w:iCs w:val="0"/>
                <w:color w:val="000000"/>
                <w:sz w:val="18"/>
                <w:szCs w:val="18"/>
                <w:u w:val="none"/>
              </w:rPr>
            </w:pPr>
          </w:p>
        </w:tc>
        <w:tc>
          <w:tcPr>
            <w:tcW w:w="1169"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（3）单位资金</w:t>
            </w:r>
          </w:p>
        </w:tc>
        <w:tc>
          <w:tcPr>
            <w:tcW w:w="2342"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2、资金结构：</w:t>
            </w:r>
          </w:p>
        </w:tc>
        <w:tc>
          <w:tcPr>
            <w:tcW w:w="1169"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（1）基本支出</w:t>
            </w:r>
          </w:p>
        </w:tc>
        <w:tc>
          <w:tcPr>
            <w:tcW w:w="2342"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nil"/>
            </w:tcBorders>
            <w:shd w:val="clear"/>
            <w:vAlign w:val="center"/>
          </w:tcPr>
          <w:p>
            <w:pPr>
              <w:jc w:val="left"/>
              <w:rPr>
                <w:rFonts w:hint="eastAsia" w:ascii="宋体" w:hAnsi="宋体" w:eastAsia="宋体" w:cs="宋体"/>
                <w:i w:val="0"/>
                <w:iCs w:val="0"/>
                <w:color w:val="000000"/>
                <w:sz w:val="18"/>
                <w:szCs w:val="18"/>
                <w:u w:val="none"/>
              </w:rPr>
            </w:pPr>
          </w:p>
        </w:tc>
        <w:tc>
          <w:tcPr>
            <w:tcW w:w="1169" w:type="pct"/>
            <w:tcBorders>
              <w:top w:val="single" w:color="000000" w:sz="4" w:space="0"/>
              <w:left w:val="nil"/>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（2）项目支出</w:t>
            </w:r>
          </w:p>
        </w:tc>
        <w:tc>
          <w:tcPr>
            <w:tcW w:w="2342" w:type="pct"/>
            <w:gridSpan w:val="2"/>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一级指标</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二级指标</w:t>
            </w: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三级指标</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指标值</w:t>
            </w: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指标值说明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 投入管理指标  </w:t>
            </w:r>
          </w:p>
        </w:tc>
        <w:tc>
          <w:tcPr>
            <w:tcW w:w="77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工作目标管理  </w:t>
            </w: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年度履职目标相关性</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工作任务科学性</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绩效指标合理性</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预算和财务管理  </w:t>
            </w: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预算编制完整性</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专项资金细化率</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预算执行率</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预算调整率</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结转结余率</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“三公经费”控制率</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政府采购执行率</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决算真实性</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资金使用合规性</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管理制度健全性</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预决算信息公开性</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资产管理规范性</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绩效管理  </w:t>
            </w:r>
          </w:p>
        </w:tc>
        <w:tc>
          <w:tcPr>
            <w:tcW w:w="1169" w:type="pct"/>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绩效目标编制完成率</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绩效监控完成率</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绩效自评完成率</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部门绩效评价完成率</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评价结果应用率</w:t>
            </w: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2" w:hRule="atLeast"/>
        </w:trPr>
        <w:tc>
          <w:tcPr>
            <w:tcW w:w="71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产出指标  </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重点工作任务完成</w:t>
            </w: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履职目标实现</w:t>
            </w: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效益指标  </w:t>
            </w:r>
          </w:p>
        </w:tc>
        <w:tc>
          <w:tcPr>
            <w:tcW w:w="7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履职效益</w:t>
            </w: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718"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770"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满意度</w:t>
            </w:r>
          </w:p>
        </w:tc>
        <w:tc>
          <w:tcPr>
            <w:tcW w:w="1169"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623"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171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tbl>
      <w:tblPr>
        <w:tblW w:w="5000" w:type="pct"/>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Layout w:type="autofit"/>
        <w:tblCellMar>
          <w:top w:w="0" w:type="dxa"/>
          <w:left w:w="108" w:type="dxa"/>
          <w:bottom w:w="0" w:type="dxa"/>
          <w:right w:w="108" w:type="dxa"/>
        </w:tblCellMar>
      </w:tblPr>
      <w:tblGrid>
        <w:gridCol w:w="1314"/>
        <w:gridCol w:w="1204"/>
        <w:gridCol w:w="633"/>
        <w:gridCol w:w="633"/>
        <w:gridCol w:w="633"/>
        <w:gridCol w:w="652"/>
        <w:gridCol w:w="1210"/>
        <w:gridCol w:w="641"/>
        <w:gridCol w:w="1285"/>
        <w:gridCol w:w="635"/>
        <w:gridCol w:w="1221"/>
        <w:gridCol w:w="1313"/>
        <w:gridCol w:w="1223"/>
        <w:gridCol w:w="133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5000" w:type="pct"/>
            <w:gridSpan w:val="14"/>
            <w:tcBorders>
              <w:top w:val="nil"/>
              <w:left w:val="nil"/>
              <w:bottom w:val="nil"/>
              <w:right w:val="nil"/>
            </w:tcBorders>
            <w:shd w:val="clear"/>
            <w:vAlign w:val="center"/>
          </w:tcPr>
          <w:p>
            <w:pPr>
              <w:keepNext w:val="0"/>
              <w:keepLines w:val="0"/>
              <w:widowControl/>
              <w:suppressLineNumbers w:val="0"/>
              <w:jc w:val="righ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预算12表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569" w:hRule="atLeast"/>
        </w:trPr>
        <w:tc>
          <w:tcPr>
            <w:tcW w:w="5000" w:type="pct"/>
            <w:gridSpan w:val="14"/>
            <w:tcBorders>
              <w:top w:val="nil"/>
              <w:left w:val="nil"/>
              <w:bottom w:val="nil"/>
              <w:right w:val="nil"/>
            </w:tcBorders>
            <w:shd w:val="clear"/>
            <w:vAlign w:val="center"/>
          </w:tcPr>
          <w:p>
            <w:pPr>
              <w:keepNext w:val="0"/>
              <w:keepLines w:val="0"/>
              <w:widowControl/>
              <w:suppressLineNumbers w:val="0"/>
              <w:jc w:val="center"/>
              <w:textAlignment w:val="center"/>
              <w:rPr>
                <w:rFonts w:ascii="宋体" w:hAnsi="宋体" w:eastAsia="宋体" w:cs="宋体"/>
                <w:b/>
                <w:bCs/>
                <w:i w:val="0"/>
                <w:iCs w:val="0"/>
                <w:color w:val="000000"/>
                <w:sz w:val="38"/>
                <w:szCs w:val="38"/>
                <w:u w:val="none"/>
              </w:rPr>
            </w:pPr>
            <w:r>
              <w:rPr>
                <w:rFonts w:ascii="宋体" w:hAnsi="宋体" w:eastAsia="宋体" w:cs="宋体"/>
                <w:b/>
                <w:bCs/>
                <w:i w:val="0"/>
                <w:iCs w:val="0"/>
                <w:color w:val="000000"/>
                <w:kern w:val="0"/>
                <w:sz w:val="38"/>
                <w:szCs w:val="38"/>
                <w:u w:val="none"/>
                <w:bdr w:val="none" w:color="auto" w:sz="0" w:space="0"/>
                <w:lang w:val="en-US" w:eastAsia="zh-CN" w:bidi="ar"/>
              </w:rPr>
              <w:t>2024年部门预算项目绩效目标汇总表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5000" w:type="pct"/>
            <w:gridSpan w:val="14"/>
            <w:tcBorders>
              <w:top w:val="nil"/>
              <w:left w:val="nil"/>
              <w:bottom w:val="nil"/>
              <w:right w:val="nil"/>
            </w:tcBorders>
            <w:shd w:val="clear"/>
            <w:vAlign w:val="center"/>
          </w:tcPr>
          <w:p>
            <w:pPr>
              <w:keepNext w:val="0"/>
              <w:keepLines w:val="0"/>
              <w:widowControl/>
              <w:suppressLineNumbers w:val="0"/>
              <w:jc w:val="left"/>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部门名称：</w:t>
            </w:r>
            <w:r>
              <w:rPr>
                <w:rFonts w:hint="eastAsia" w:ascii="宋体" w:hAnsi="宋体" w:eastAsia="宋体" w:cs="宋体"/>
                <w:i w:val="0"/>
                <w:iCs w:val="0"/>
                <w:color w:val="000000"/>
                <w:kern w:val="0"/>
                <w:sz w:val="18"/>
                <w:szCs w:val="18"/>
                <w:u w:val="none"/>
                <w:lang w:val="en-US" w:eastAsia="zh-CN" w:bidi="ar"/>
              </w:rPr>
              <w:t>周口市川汇区妇幼保健计划生育服务中心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5" w:hRule="atLeast"/>
        </w:trPr>
        <w:tc>
          <w:tcPr>
            <w:tcW w:w="47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单位编码（项目编码）</w:t>
            </w:r>
          </w:p>
        </w:tc>
        <w:tc>
          <w:tcPr>
            <w:tcW w:w="432" w:type="pct"/>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项目单位 （项目名称）</w:t>
            </w:r>
          </w:p>
        </w:tc>
        <w:tc>
          <w:tcPr>
            <w:tcW w:w="915" w:type="pct"/>
            <w:gridSpan w:val="4"/>
            <w:vMerge w:val="restar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项目金额（万元）</w:t>
            </w:r>
          </w:p>
        </w:tc>
        <w:tc>
          <w:tcPr>
            <w:tcW w:w="3179" w:type="pct"/>
            <w:gridSpan w:val="8"/>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绩效目标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339" w:hRule="atLeast"/>
        </w:trPr>
        <w:tc>
          <w:tcPr>
            <w:tcW w:w="47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915" w:type="pct"/>
            <w:gridSpan w:val="4"/>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66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成本指标  </w:t>
            </w:r>
          </w:p>
        </w:tc>
        <w:tc>
          <w:tcPr>
            <w:tcW w:w="68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产出指标  </w:t>
            </w:r>
          </w:p>
        </w:tc>
        <w:tc>
          <w:tcPr>
            <w:tcW w:w="909"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效益指标  </w:t>
            </w:r>
          </w:p>
        </w:tc>
        <w:tc>
          <w:tcPr>
            <w:tcW w:w="914" w:type="pct"/>
            <w:gridSpan w:val="2"/>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 xml:space="preserve">满意度指标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452" w:hRule="atLeast"/>
        </w:trPr>
        <w:tc>
          <w:tcPr>
            <w:tcW w:w="47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32" w:type="pct"/>
            <w:vMerge w:val="continue"/>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2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资金总额</w:t>
            </w:r>
          </w:p>
        </w:tc>
        <w:tc>
          <w:tcPr>
            <w:tcW w:w="22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政府预算资金</w:t>
            </w:r>
          </w:p>
        </w:tc>
        <w:tc>
          <w:tcPr>
            <w:tcW w:w="227"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财政专户管理资金</w:t>
            </w:r>
          </w:p>
        </w:tc>
        <w:tc>
          <w:tcPr>
            <w:tcW w:w="232"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单位资金</w:t>
            </w:r>
          </w:p>
        </w:tc>
        <w:tc>
          <w:tcPr>
            <w:tcW w:w="434"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三级指标</w:t>
            </w:r>
          </w:p>
        </w:tc>
        <w:tc>
          <w:tcPr>
            <w:tcW w:w="22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指标值</w:t>
            </w: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三级指标</w:t>
            </w:r>
          </w:p>
        </w:tc>
        <w:tc>
          <w:tcPr>
            <w:tcW w:w="22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指标值</w:t>
            </w:r>
          </w:p>
        </w:tc>
        <w:tc>
          <w:tcPr>
            <w:tcW w:w="438"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三级指标</w:t>
            </w: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指标值</w:t>
            </w:r>
          </w:p>
        </w:tc>
        <w:tc>
          <w:tcPr>
            <w:tcW w:w="439"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三级指标</w:t>
            </w:r>
          </w:p>
        </w:tc>
        <w:tc>
          <w:tcPr>
            <w:tcW w:w="475" w:type="pct"/>
            <w:tcBorders>
              <w:top w:val="single" w:color="000000" w:sz="4" w:space="0"/>
              <w:left w:val="single" w:color="000000" w:sz="4" w:space="0"/>
              <w:bottom w:val="single" w:color="000000" w:sz="4" w:space="0"/>
              <w:right w:val="single" w:color="000000" w:sz="4" w:space="0"/>
            </w:tcBorders>
            <w:shd w:val="clear"/>
            <w:vAlign w:val="center"/>
          </w:tcPr>
          <w:p>
            <w:pPr>
              <w:keepNext w:val="0"/>
              <w:keepLines w:val="0"/>
              <w:widowControl/>
              <w:suppressLineNumbers w:val="0"/>
              <w:jc w:val="center"/>
              <w:textAlignment w:val="center"/>
              <w:rPr>
                <w:rFonts w:ascii="宋体" w:hAnsi="宋体" w:eastAsia="宋体" w:cs="宋体"/>
                <w:i w:val="0"/>
                <w:iCs w:val="0"/>
                <w:color w:val="000000"/>
                <w:sz w:val="18"/>
                <w:szCs w:val="18"/>
                <w:u w:val="none"/>
              </w:rPr>
            </w:pPr>
            <w:r>
              <w:rPr>
                <w:rFonts w:ascii="宋体" w:hAnsi="宋体" w:eastAsia="宋体" w:cs="宋体"/>
                <w:i w:val="0"/>
                <w:iCs w:val="0"/>
                <w:color w:val="000000"/>
                <w:kern w:val="0"/>
                <w:sz w:val="18"/>
                <w:szCs w:val="18"/>
                <w:u w:val="none"/>
                <w:bdr w:val="none" w:color="auto" w:sz="0" w:space="0"/>
                <w:lang w:val="en-US" w:eastAsia="zh-CN" w:bidi="ar"/>
              </w:rPr>
              <w:t>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286" w:hRule="atLeast"/>
        </w:trPr>
        <w:tc>
          <w:tcPr>
            <w:tcW w:w="472"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jc w:val="left"/>
              <w:rPr>
                <w:rFonts w:hint="eastAsia" w:ascii="宋体" w:hAnsi="宋体" w:eastAsia="宋体" w:cs="宋体"/>
                <w:i w:val="0"/>
                <w:iCs w:val="0"/>
                <w:color w:val="000000"/>
                <w:sz w:val="18"/>
                <w:szCs w:val="18"/>
                <w:u w:val="none"/>
              </w:rPr>
            </w:pPr>
          </w:p>
        </w:tc>
        <w:tc>
          <w:tcPr>
            <w:tcW w:w="22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2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2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3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38"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472"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2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2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2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3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38"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tblCellMar>
            <w:top w:w="0" w:type="dxa"/>
            <w:left w:w="108" w:type="dxa"/>
            <w:bottom w:w="0" w:type="dxa"/>
            <w:right w:w="108" w:type="dxa"/>
          </w:tblCellMar>
        </w:tblPrEx>
        <w:trPr>
          <w:trHeight w:val="286" w:hRule="atLeast"/>
        </w:trPr>
        <w:tc>
          <w:tcPr>
            <w:tcW w:w="472"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432" w:type="pct"/>
            <w:tcBorders>
              <w:top w:val="single" w:color="000000" w:sz="4" w:space="0"/>
              <w:left w:val="single" w:color="000000" w:sz="4" w:space="0"/>
              <w:bottom w:val="single" w:color="000000" w:sz="4" w:space="0"/>
              <w:right w:val="single" w:color="000000" w:sz="4" w:space="0"/>
            </w:tcBorders>
            <w:shd w:val="clear"/>
            <w:vAlign w:val="center"/>
          </w:tcPr>
          <w:p>
            <w:pPr>
              <w:jc w:val="center"/>
              <w:rPr>
                <w:rFonts w:hint="eastAsia" w:ascii="宋体" w:hAnsi="宋体" w:eastAsia="宋体" w:cs="宋体"/>
                <w:i w:val="0"/>
                <w:iCs w:val="0"/>
                <w:color w:val="000000"/>
                <w:sz w:val="18"/>
                <w:szCs w:val="18"/>
                <w:u w:val="none"/>
              </w:rPr>
            </w:pPr>
          </w:p>
        </w:tc>
        <w:tc>
          <w:tcPr>
            <w:tcW w:w="22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2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27"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232" w:type="pct"/>
            <w:tcBorders>
              <w:top w:val="single" w:color="000000" w:sz="4" w:space="0"/>
              <w:left w:val="single" w:color="000000" w:sz="4" w:space="0"/>
              <w:bottom w:val="single" w:color="000000" w:sz="4" w:space="0"/>
              <w:right w:val="single" w:color="000000" w:sz="4" w:space="0"/>
            </w:tcBorders>
            <w:shd w:val="clear"/>
            <w:vAlign w:val="center"/>
          </w:tcPr>
          <w:p>
            <w:pPr>
              <w:jc w:val="right"/>
              <w:rPr>
                <w:rFonts w:hint="eastAsia" w:ascii="宋体" w:hAnsi="宋体" w:eastAsia="宋体" w:cs="宋体"/>
                <w:i w:val="0"/>
                <w:iCs w:val="0"/>
                <w:color w:val="000000"/>
                <w:sz w:val="18"/>
                <w:szCs w:val="18"/>
                <w:u w:val="none"/>
              </w:rPr>
            </w:pPr>
          </w:p>
        </w:tc>
        <w:tc>
          <w:tcPr>
            <w:tcW w:w="434"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22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6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228"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38"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71"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39"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c>
          <w:tcPr>
            <w:tcW w:w="475" w:type="pct"/>
            <w:tcBorders>
              <w:top w:val="single" w:color="000000" w:sz="4" w:space="0"/>
              <w:left w:val="single" w:color="000000" w:sz="4" w:space="0"/>
              <w:bottom w:val="single" w:color="000000" w:sz="4" w:space="0"/>
              <w:right w:val="single" w:color="000000" w:sz="4" w:space="0"/>
            </w:tcBorders>
            <w:shd w:val="clear"/>
            <w:vAlign w:val="center"/>
          </w:tcPr>
          <w:p>
            <w:pPr>
              <w:rPr>
                <w:rFonts w:hint="eastAsia" w:ascii="宋体" w:hAnsi="宋体" w:eastAsia="宋体" w:cs="宋体"/>
                <w:i w:val="0"/>
                <w:iCs w:val="0"/>
                <w:color w:val="000000"/>
                <w:sz w:val="18"/>
                <w:szCs w:val="18"/>
                <w:u w:val="none"/>
              </w:rPr>
            </w:pPr>
          </w:p>
        </w:tc>
      </w:tr>
    </w:tbl>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p>
      <w:pPr>
        <w:adjustRightInd w:val="0"/>
        <w:snapToGrid w:val="0"/>
        <w:spacing w:line="640" w:lineRule="exact"/>
        <w:rPr>
          <w:rFonts w:hint="eastAsia" w:ascii="仿宋_GB2312" w:hAnsi="仿宋_GB2312" w:eastAsia="仿宋_GB2312" w:cs="仿宋_GB2312"/>
          <w:sz w:val="32"/>
          <w:szCs w:val="32"/>
        </w:rPr>
      </w:pPr>
    </w:p>
    <w:sectPr>
      <w:pgSz w:w="16838" w:h="11906" w:orient="landscape"/>
      <w:pgMar w:top="1644" w:right="1701" w:bottom="1644" w:left="1418"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embedRegular r:id="rId1" w:fontKey="{D38269AD-2DA6-4BA0-AF00-AB923E23ABEC}"/>
  </w:font>
  <w:font w:name="黑体">
    <w:panose1 w:val="02010609060101010101"/>
    <w:charset w:val="86"/>
    <w:family w:val="auto"/>
    <w:pitch w:val="default"/>
    <w:sig w:usb0="800002BF" w:usb1="38CF7CFA" w:usb2="00000016" w:usb3="00000000" w:csb0="00040001" w:csb1="00000000"/>
    <w:embedRegular r:id="rId2" w:fontKey="{9613602B-8A7F-4FA2-9AA6-64140FABADF7}"/>
  </w:font>
  <w:font w:name="Courier New">
    <w:panose1 w:val="02070309020205020404"/>
    <w:charset w:val="01"/>
    <w:family w:val="modern"/>
    <w:pitch w:val="default"/>
    <w:sig w:usb0="E0002EFF" w:usb1="C0007843" w:usb2="00000009" w:usb3="00000000" w:csb0="400001FF" w:csb1="FFFF0000"/>
    <w:embedRegular r:id="rId3" w:fontKey="{3BF14DA5-945D-4CDC-82CC-082280A6AE01}"/>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_GB2312">
    <w:altName w:val="仿宋"/>
    <w:panose1 w:val="02010609030101010101"/>
    <w:charset w:val="86"/>
    <w:family w:val="modern"/>
    <w:pitch w:val="default"/>
    <w:sig w:usb0="00000000" w:usb1="00000000" w:usb2="00000010" w:usb3="00000000" w:csb0="00040000" w:csb1="00000000"/>
    <w:embedRegular r:id="rId4" w:fontKey="{B74B6BEE-6AD5-4572-B80F-1DD44BC2B94C}"/>
  </w:font>
  <w:font w:name="方正小标宋简体">
    <w:panose1 w:val="02000000000000000000"/>
    <w:charset w:val="86"/>
    <w:family w:val="auto"/>
    <w:pitch w:val="default"/>
    <w:sig w:usb0="00000001" w:usb1="08000000" w:usb2="00000000" w:usb3="00000000" w:csb0="00040000" w:csb1="00000000"/>
    <w:embedRegular r:id="rId5" w:fontKey="{05A3FF95-F687-4574-BE6E-59BCBD420FD8}"/>
  </w:font>
  <w:font w:name="楷体_GB2312">
    <w:altName w:val="楷体"/>
    <w:panose1 w:val="02010609030101010101"/>
    <w:charset w:val="86"/>
    <w:family w:val="modern"/>
    <w:pitch w:val="default"/>
    <w:sig w:usb0="00000000" w:usb1="00000000" w:usb2="00000010" w:usb3="00000000" w:csb0="00040000" w:csb1="00000000"/>
    <w:embedRegular r:id="rId6" w:fontKey="{7DBAD444-F1D7-4FC0-8DEF-62AEBB582B1C}"/>
  </w:font>
  <w:font w:name="仿宋">
    <w:panose1 w:val="02010609060101010101"/>
    <w:charset w:val="86"/>
    <w:family w:val="auto"/>
    <w:pitch w:val="default"/>
    <w:sig w:usb0="800002BF" w:usb1="38CF7CFA" w:usb2="00000016" w:usb3="00000000" w:csb0="00040001" w:csb1="00000000"/>
    <w:embedRegular r:id="rId7" w:fontKey="{72EE66D5-4F39-4C87-95C7-B6ACD6C7D87B}"/>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4"/>
      <w:jc w:val="center"/>
      <w:rPr>
        <w:rFonts w:ascii="Times New Roman" w:hAnsi="Times New Roman"/>
        <w:sz w:val="21"/>
        <w:szCs w:val="21"/>
      </w:rPr>
    </w:pPr>
    <w:r>
      <w:rPr>
        <w:rFonts w:ascii="Times New Roman" w:hAnsi="Times New Roman"/>
        <w:sz w:val="21"/>
        <w:szCs w:val="21"/>
      </w:rPr>
      <w:fldChar w:fldCharType="begin"/>
    </w:r>
    <w:r>
      <w:rPr>
        <w:rFonts w:ascii="Times New Roman" w:hAnsi="Times New Roman"/>
        <w:sz w:val="21"/>
        <w:szCs w:val="21"/>
      </w:rPr>
      <w:instrText xml:space="preserve"> PAGE   \* MERGEFORMAT </w:instrText>
    </w:r>
    <w:r>
      <w:rPr>
        <w:rFonts w:ascii="Times New Roman" w:hAnsi="Times New Roman"/>
        <w:sz w:val="21"/>
        <w:szCs w:val="21"/>
      </w:rPr>
      <w:fldChar w:fldCharType="separate"/>
    </w:r>
    <w:r>
      <w:rPr>
        <w:rFonts w:ascii="Times New Roman" w:hAnsi="Times New Roman"/>
        <w:sz w:val="21"/>
        <w:szCs w:val="21"/>
        <w:lang w:val="zh-CN"/>
      </w:rPr>
      <w:t>-</w:t>
    </w:r>
    <w:r>
      <w:rPr>
        <w:rFonts w:ascii="Times New Roman" w:hAnsi="Times New Roman"/>
        <w:sz w:val="21"/>
        <w:szCs w:val="21"/>
      </w:rPr>
      <w:t xml:space="preserve"> 14 -</w:t>
    </w:r>
    <w:r>
      <w:rPr>
        <w:rFonts w:ascii="Times New Roman" w:hAnsi="Times New Roman"/>
        <w:sz w:val="21"/>
        <w:szCs w:val="21"/>
      </w:rP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A796DEC"/>
    <w:multiLevelType w:val="singleLevel"/>
    <w:tmpl w:val="5A796DEC"/>
    <w:lvl w:ilvl="0" w:tentative="0">
      <w:start w:val="1"/>
      <w:numFmt w:val="chineseCounting"/>
      <w:suff w:val="nothing"/>
      <w:lvlText w:val="%1、"/>
      <w:lvlJc w:val="left"/>
      <w:pPr>
        <w:ind w:left="-1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hyphenationZone w:val="36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mY0MmVhZDYyMzFlZjkxODdlZmQ2MjNiZDEwNTVmZGUifQ=="/>
  </w:docVars>
  <w:rsids>
    <w:rsidRoot w:val="00172A27"/>
    <w:rsid w:val="00010E8C"/>
    <w:rsid w:val="00012DAB"/>
    <w:rsid w:val="000910F4"/>
    <w:rsid w:val="000B35F5"/>
    <w:rsid w:val="001153E2"/>
    <w:rsid w:val="0013637E"/>
    <w:rsid w:val="00172A27"/>
    <w:rsid w:val="00180093"/>
    <w:rsid w:val="0018477D"/>
    <w:rsid w:val="001A581C"/>
    <w:rsid w:val="001B73A3"/>
    <w:rsid w:val="002B5866"/>
    <w:rsid w:val="00331F9E"/>
    <w:rsid w:val="00360026"/>
    <w:rsid w:val="00390657"/>
    <w:rsid w:val="00394D52"/>
    <w:rsid w:val="003F59FA"/>
    <w:rsid w:val="00484372"/>
    <w:rsid w:val="00540E30"/>
    <w:rsid w:val="00584987"/>
    <w:rsid w:val="00591904"/>
    <w:rsid w:val="005A320B"/>
    <w:rsid w:val="006B25CE"/>
    <w:rsid w:val="006B4C85"/>
    <w:rsid w:val="006D0F56"/>
    <w:rsid w:val="007B20A1"/>
    <w:rsid w:val="008627FA"/>
    <w:rsid w:val="00867CC2"/>
    <w:rsid w:val="009A29A9"/>
    <w:rsid w:val="00A632CC"/>
    <w:rsid w:val="00A968AB"/>
    <w:rsid w:val="00AE6344"/>
    <w:rsid w:val="00B42071"/>
    <w:rsid w:val="00C1129E"/>
    <w:rsid w:val="00C65933"/>
    <w:rsid w:val="00D27C15"/>
    <w:rsid w:val="00D63E87"/>
    <w:rsid w:val="00E63712"/>
    <w:rsid w:val="00E92EBB"/>
    <w:rsid w:val="00EC247E"/>
    <w:rsid w:val="00F26134"/>
    <w:rsid w:val="00F262A0"/>
    <w:rsid w:val="00F5158C"/>
    <w:rsid w:val="00F61AC9"/>
    <w:rsid w:val="011F3252"/>
    <w:rsid w:val="01BA52F4"/>
    <w:rsid w:val="020F543E"/>
    <w:rsid w:val="022D1A18"/>
    <w:rsid w:val="02EA7E22"/>
    <w:rsid w:val="0543026B"/>
    <w:rsid w:val="05434A07"/>
    <w:rsid w:val="06420282"/>
    <w:rsid w:val="066D0BC3"/>
    <w:rsid w:val="08D43138"/>
    <w:rsid w:val="09396877"/>
    <w:rsid w:val="0A087208"/>
    <w:rsid w:val="0A2951C1"/>
    <w:rsid w:val="0ADB0F46"/>
    <w:rsid w:val="0BFB6848"/>
    <w:rsid w:val="0C1A3A38"/>
    <w:rsid w:val="0C931FC6"/>
    <w:rsid w:val="0D2A7F8C"/>
    <w:rsid w:val="0E405359"/>
    <w:rsid w:val="0E7B08F7"/>
    <w:rsid w:val="0E9D5B72"/>
    <w:rsid w:val="0F5D4447"/>
    <w:rsid w:val="110D669A"/>
    <w:rsid w:val="111D6981"/>
    <w:rsid w:val="115832F0"/>
    <w:rsid w:val="12955E7E"/>
    <w:rsid w:val="134B709F"/>
    <w:rsid w:val="1486051A"/>
    <w:rsid w:val="15E21042"/>
    <w:rsid w:val="15F5735F"/>
    <w:rsid w:val="15F7430E"/>
    <w:rsid w:val="16D752E8"/>
    <w:rsid w:val="16FA09A5"/>
    <w:rsid w:val="172872C1"/>
    <w:rsid w:val="17D17958"/>
    <w:rsid w:val="18013D26"/>
    <w:rsid w:val="18027BC4"/>
    <w:rsid w:val="18965ACA"/>
    <w:rsid w:val="195005BE"/>
    <w:rsid w:val="197467ED"/>
    <w:rsid w:val="1A5440FF"/>
    <w:rsid w:val="1B063DBD"/>
    <w:rsid w:val="1C4C4A1E"/>
    <w:rsid w:val="1C774964"/>
    <w:rsid w:val="1CB717B0"/>
    <w:rsid w:val="1CC138AC"/>
    <w:rsid w:val="1E2D4318"/>
    <w:rsid w:val="1F5E37F0"/>
    <w:rsid w:val="1FEA6652"/>
    <w:rsid w:val="210279F1"/>
    <w:rsid w:val="21863561"/>
    <w:rsid w:val="218E4B86"/>
    <w:rsid w:val="22305D37"/>
    <w:rsid w:val="231663C2"/>
    <w:rsid w:val="23496DF4"/>
    <w:rsid w:val="234E6170"/>
    <w:rsid w:val="23645B24"/>
    <w:rsid w:val="23C84553"/>
    <w:rsid w:val="24053D8B"/>
    <w:rsid w:val="25420541"/>
    <w:rsid w:val="27104BC5"/>
    <w:rsid w:val="274B5C37"/>
    <w:rsid w:val="27B77936"/>
    <w:rsid w:val="28591A29"/>
    <w:rsid w:val="28C9571D"/>
    <w:rsid w:val="28EF5AB8"/>
    <w:rsid w:val="29053906"/>
    <w:rsid w:val="2A4E39EA"/>
    <w:rsid w:val="2D0E2B8C"/>
    <w:rsid w:val="2D475E23"/>
    <w:rsid w:val="2D7C7DC8"/>
    <w:rsid w:val="2FBA5383"/>
    <w:rsid w:val="30050D6E"/>
    <w:rsid w:val="30896BCA"/>
    <w:rsid w:val="30BC0D4E"/>
    <w:rsid w:val="31A607D4"/>
    <w:rsid w:val="32FE5EB6"/>
    <w:rsid w:val="336C736D"/>
    <w:rsid w:val="33D83AC3"/>
    <w:rsid w:val="34477C7C"/>
    <w:rsid w:val="34582EE2"/>
    <w:rsid w:val="34EA0091"/>
    <w:rsid w:val="356158B2"/>
    <w:rsid w:val="35955845"/>
    <w:rsid w:val="366F0610"/>
    <w:rsid w:val="371134BE"/>
    <w:rsid w:val="37E1109A"/>
    <w:rsid w:val="3821593A"/>
    <w:rsid w:val="3A5A5133"/>
    <w:rsid w:val="3AC73557"/>
    <w:rsid w:val="3B3862EC"/>
    <w:rsid w:val="3B7E7CD6"/>
    <w:rsid w:val="3C5545EA"/>
    <w:rsid w:val="3C872058"/>
    <w:rsid w:val="3E03226D"/>
    <w:rsid w:val="3E3B33F8"/>
    <w:rsid w:val="3E554299"/>
    <w:rsid w:val="3EC03D4E"/>
    <w:rsid w:val="3F8B12A4"/>
    <w:rsid w:val="3F9B32C6"/>
    <w:rsid w:val="404403C2"/>
    <w:rsid w:val="41006A35"/>
    <w:rsid w:val="418E7743"/>
    <w:rsid w:val="427229EE"/>
    <w:rsid w:val="44646F08"/>
    <w:rsid w:val="463E1404"/>
    <w:rsid w:val="46D61D8E"/>
    <w:rsid w:val="48B61AEE"/>
    <w:rsid w:val="49BB2292"/>
    <w:rsid w:val="4A2D77B2"/>
    <w:rsid w:val="4B174C1E"/>
    <w:rsid w:val="4C63431C"/>
    <w:rsid w:val="4D1B423C"/>
    <w:rsid w:val="4D53609D"/>
    <w:rsid w:val="4DD728CB"/>
    <w:rsid w:val="4F283692"/>
    <w:rsid w:val="4F2E7415"/>
    <w:rsid w:val="5133332D"/>
    <w:rsid w:val="51A34E6B"/>
    <w:rsid w:val="51BA4D1B"/>
    <w:rsid w:val="53DD5E9E"/>
    <w:rsid w:val="53E44C27"/>
    <w:rsid w:val="54440316"/>
    <w:rsid w:val="557E23A2"/>
    <w:rsid w:val="56170651"/>
    <w:rsid w:val="565274E9"/>
    <w:rsid w:val="56934487"/>
    <w:rsid w:val="58A06A3B"/>
    <w:rsid w:val="59937ADD"/>
    <w:rsid w:val="59FA5898"/>
    <w:rsid w:val="5A0C0F55"/>
    <w:rsid w:val="5ABB079A"/>
    <w:rsid w:val="5ABF3D6F"/>
    <w:rsid w:val="5B0373F5"/>
    <w:rsid w:val="5B3436CC"/>
    <w:rsid w:val="5D011B69"/>
    <w:rsid w:val="5EE12618"/>
    <w:rsid w:val="5F185B5E"/>
    <w:rsid w:val="5F685A79"/>
    <w:rsid w:val="60E455D3"/>
    <w:rsid w:val="61030FBA"/>
    <w:rsid w:val="614811CC"/>
    <w:rsid w:val="61A16F93"/>
    <w:rsid w:val="61CB0541"/>
    <w:rsid w:val="63043842"/>
    <w:rsid w:val="631C3532"/>
    <w:rsid w:val="6396038B"/>
    <w:rsid w:val="65EC5D9B"/>
    <w:rsid w:val="67E25701"/>
    <w:rsid w:val="68422F65"/>
    <w:rsid w:val="69010659"/>
    <w:rsid w:val="690A138E"/>
    <w:rsid w:val="69132EFA"/>
    <w:rsid w:val="691F6419"/>
    <w:rsid w:val="69213755"/>
    <w:rsid w:val="6A407333"/>
    <w:rsid w:val="6A657BF7"/>
    <w:rsid w:val="6AD446A0"/>
    <w:rsid w:val="6AE918FB"/>
    <w:rsid w:val="6CA7596F"/>
    <w:rsid w:val="6CE0083A"/>
    <w:rsid w:val="6D57635D"/>
    <w:rsid w:val="6F0E791F"/>
    <w:rsid w:val="6F4343D6"/>
    <w:rsid w:val="702F5828"/>
    <w:rsid w:val="70326C80"/>
    <w:rsid w:val="703F04BD"/>
    <w:rsid w:val="725400DF"/>
    <w:rsid w:val="72541844"/>
    <w:rsid w:val="72724173"/>
    <w:rsid w:val="72FF6654"/>
    <w:rsid w:val="74F32D0B"/>
    <w:rsid w:val="75735A0E"/>
    <w:rsid w:val="75AC3DC3"/>
    <w:rsid w:val="76897EF9"/>
    <w:rsid w:val="76A72ED3"/>
    <w:rsid w:val="7769578D"/>
    <w:rsid w:val="77BC475C"/>
    <w:rsid w:val="78532D44"/>
    <w:rsid w:val="79BD56EB"/>
    <w:rsid w:val="7B8F6CE2"/>
    <w:rsid w:val="7C750E5D"/>
    <w:rsid w:val="7DDA6D58"/>
    <w:rsid w:val="7E186464"/>
    <w:rsid w:val="7EA44541"/>
    <w:rsid w:val="7F167121"/>
    <w:rsid w:val="7FA956D4"/>
  </w:rsids>
  <m:mathPr>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semiHidden="0"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semiHidden="0"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paragraph" w:styleId="2">
    <w:name w:val="heading 1"/>
    <w:basedOn w:val="1"/>
    <w:next w:val="1"/>
    <w:link w:val="9"/>
    <w:qFormat/>
    <w:uiPriority w:val="9"/>
    <w:pPr>
      <w:keepNext/>
      <w:keepLines/>
      <w:spacing w:before="340" w:after="330" w:line="578" w:lineRule="auto"/>
      <w:outlineLvl w:val="0"/>
    </w:pPr>
    <w:rPr>
      <w:b/>
      <w:bCs/>
      <w:kern w:val="44"/>
      <w:sz w:val="44"/>
      <w:szCs w:val="44"/>
    </w:rPr>
  </w:style>
  <w:style w:type="character" w:default="1" w:styleId="8">
    <w:name w:val="Default Paragraph Font"/>
    <w:unhideWhenUsed/>
    <w:uiPriority w:val="1"/>
  </w:style>
  <w:style w:type="table" w:default="1" w:styleId="7">
    <w:name w:val="Normal Table"/>
    <w:unhideWhenUsed/>
    <w:qFormat/>
    <w:uiPriority w:val="99"/>
    <w:tblPr>
      <w:tblCellMar>
        <w:top w:w="0" w:type="dxa"/>
        <w:left w:w="108" w:type="dxa"/>
        <w:bottom w:w="0" w:type="dxa"/>
        <w:right w:w="108" w:type="dxa"/>
      </w:tblCellMar>
    </w:tblPr>
  </w:style>
  <w:style w:type="paragraph" w:styleId="3">
    <w:name w:val="Date"/>
    <w:basedOn w:val="1"/>
    <w:next w:val="1"/>
    <w:link w:val="10"/>
    <w:unhideWhenUsed/>
    <w:uiPriority w:val="99"/>
    <w:pPr>
      <w:ind w:left="100" w:leftChars="2500"/>
    </w:pPr>
  </w:style>
  <w:style w:type="paragraph" w:styleId="4">
    <w:name w:val="footer"/>
    <w:basedOn w:val="1"/>
    <w:link w:val="11"/>
    <w:unhideWhenUsed/>
    <w:qFormat/>
    <w:uiPriority w:val="99"/>
    <w:pPr>
      <w:tabs>
        <w:tab w:val="center" w:pos="4153"/>
        <w:tab w:val="right" w:pos="8306"/>
      </w:tabs>
      <w:snapToGrid w:val="0"/>
      <w:jc w:val="left"/>
    </w:pPr>
    <w:rPr>
      <w:sz w:val="18"/>
      <w:szCs w:val="18"/>
    </w:rPr>
  </w:style>
  <w:style w:type="paragraph" w:styleId="5">
    <w:name w:val="header"/>
    <w:basedOn w:val="1"/>
    <w:link w:val="12"/>
    <w:unhideWhenUsed/>
    <w:qFormat/>
    <w:uiPriority w:val="99"/>
    <w:pPr>
      <w:pBdr>
        <w:bottom w:val="single" w:color="auto" w:sz="6" w:space="1"/>
      </w:pBdr>
      <w:tabs>
        <w:tab w:val="center" w:pos="4153"/>
        <w:tab w:val="right" w:pos="8306"/>
      </w:tabs>
      <w:snapToGrid w:val="0"/>
      <w:jc w:val="center"/>
    </w:pPr>
    <w:rPr>
      <w:sz w:val="18"/>
      <w:szCs w:val="18"/>
    </w:rPr>
  </w:style>
  <w:style w:type="paragraph" w:styleId="6">
    <w:name w:val="Normal (Web)"/>
    <w:basedOn w:val="1"/>
    <w:qFormat/>
    <w:uiPriority w:val="0"/>
    <w:pPr>
      <w:spacing w:before="100" w:beforeAutospacing="1" w:after="100" w:afterAutospacing="1"/>
      <w:ind w:left="0" w:right="0"/>
      <w:jc w:val="left"/>
    </w:pPr>
    <w:rPr>
      <w:kern w:val="0"/>
      <w:sz w:val="24"/>
      <w:lang w:val="en-US" w:eastAsia="zh-CN" w:bidi="ar"/>
    </w:rPr>
  </w:style>
  <w:style w:type="character" w:customStyle="1" w:styleId="9">
    <w:name w:val="标题 1 Char"/>
    <w:basedOn w:val="8"/>
    <w:link w:val="2"/>
    <w:uiPriority w:val="9"/>
    <w:rPr>
      <w:b/>
      <w:bCs/>
      <w:kern w:val="44"/>
      <w:sz w:val="44"/>
      <w:szCs w:val="44"/>
    </w:rPr>
  </w:style>
  <w:style w:type="character" w:customStyle="1" w:styleId="10">
    <w:name w:val="日期 Char"/>
    <w:basedOn w:val="8"/>
    <w:link w:val="3"/>
    <w:semiHidden/>
    <w:uiPriority w:val="99"/>
    <w:rPr>
      <w:kern w:val="2"/>
      <w:sz w:val="21"/>
      <w:szCs w:val="22"/>
    </w:rPr>
  </w:style>
  <w:style w:type="character" w:customStyle="1" w:styleId="11">
    <w:name w:val="页脚 Char"/>
    <w:basedOn w:val="8"/>
    <w:link w:val="4"/>
    <w:qFormat/>
    <w:uiPriority w:val="99"/>
    <w:rPr>
      <w:sz w:val="18"/>
      <w:szCs w:val="18"/>
    </w:rPr>
  </w:style>
  <w:style w:type="character" w:customStyle="1" w:styleId="12">
    <w:name w:val="页眉 Char"/>
    <w:basedOn w:val="8"/>
    <w:link w:val="5"/>
    <w:semiHidden/>
    <w:qFormat/>
    <w:uiPriority w:val="99"/>
    <w:rPr>
      <w:sz w:val="18"/>
      <w:szCs w:val="18"/>
    </w:rPr>
  </w:style>
  <w:style w:type="paragraph" w:styleId="13">
    <w:name w:val="List Paragraph"/>
    <w:basedOn w:val="1"/>
    <w:qFormat/>
    <w:uiPriority w:val="34"/>
    <w:pPr>
      <w:ind w:firstLine="420" w:firstLineChars="200"/>
    </w:p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7" Type="http://schemas.openxmlformats.org/officeDocument/2006/relationships/font" Target="fonts/font7.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Lenovo</Company>
  <Pages>26</Pages>
  <Words>7206</Words>
  <Characters>8847</Characters>
  <Lines>38</Lines>
  <Paragraphs>10</Paragraphs>
  <TotalTime>15</TotalTime>
  <ScaleCrop>false</ScaleCrop>
  <LinksUpToDate>false</LinksUpToDate>
  <CharactersWithSpaces>9001</CharactersWithSpaces>
  <Application>WPS Office_12.1.0.16412_F1E327BC-269C-435d-A152-05C5408002CA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2022-05-30T01:33:00Z</dcterms:created>
  <dc:creator>Administrator</dc:creator>
  <cp:lastModifiedBy>Administrator</cp:lastModifiedBy>
  <cp:lastPrinted>2022-05-26T08:02:00Z</cp:lastPrinted>
  <dcterms:modified xsi:type="dcterms:W3CDTF">2024-03-21T08:19:51Z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2052-12.1.0.16412</vt:lpwstr>
  </property>
  <property fmtid="{D5CDD505-2E9C-101B-9397-08002B2CF9AE}" pid="3" name="ICV">
    <vt:lpwstr>C9134411842B41F7B162BC2AA437AD7B</vt:lpwstr>
  </property>
</Properties>
</file>