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 w:ascii="新宋体" w:hAnsi="新宋体" w:eastAsia="新宋体" w:cs="新宋体"/>
          <w:sz w:val="56"/>
          <w:szCs w:val="32"/>
        </w:rPr>
      </w:pPr>
    </w:p>
    <w:p>
      <w:pPr>
        <w:pStyle w:val="2"/>
        <w:bidi w:val="0"/>
        <w:jc w:val="center"/>
        <w:rPr>
          <w:rFonts w:hint="eastAsia" w:ascii="微软雅黑" w:hAnsi="微软雅黑" w:eastAsia="微软雅黑" w:cs="微软雅黑"/>
          <w:sz w:val="56"/>
          <w:szCs w:val="32"/>
        </w:rPr>
      </w:pPr>
      <w:bookmarkStart w:id="0" w:name="_GoBack"/>
      <w:r>
        <w:rPr>
          <w:rFonts w:hint="eastAsia" w:ascii="微软雅黑" w:hAnsi="微软雅黑" w:eastAsia="微软雅黑" w:cs="微软雅黑"/>
          <w:sz w:val="56"/>
          <w:szCs w:val="32"/>
          <w:lang w:eastAsia="zh-CN"/>
        </w:rPr>
        <w:t>周口市川汇区金海社区卫生服务中心</w:t>
      </w:r>
      <w:r>
        <w:rPr>
          <w:rFonts w:hint="eastAsia" w:ascii="微软雅黑" w:hAnsi="微软雅黑" w:eastAsia="微软雅黑" w:cs="微软雅黑"/>
          <w:sz w:val="56"/>
          <w:szCs w:val="32"/>
          <w:lang w:val="en-US" w:eastAsia="zh-CN"/>
        </w:rPr>
        <w:t>2024</w:t>
      </w:r>
      <w:r>
        <w:rPr>
          <w:rFonts w:hint="eastAsia" w:ascii="微软雅黑" w:hAnsi="微软雅黑" w:eastAsia="微软雅黑" w:cs="微软雅黑"/>
          <w:sz w:val="56"/>
          <w:szCs w:val="32"/>
        </w:rPr>
        <w:t>年度部门预算</w:t>
      </w:r>
    </w:p>
    <w:p>
      <w:pPr>
        <w:pStyle w:val="2"/>
        <w:bidi w:val="0"/>
        <w:jc w:val="center"/>
        <w:rPr>
          <w:rFonts w:hint="eastAsia" w:ascii="微软雅黑" w:hAnsi="微软雅黑" w:eastAsia="微软雅黑" w:cs="微软雅黑"/>
          <w:sz w:val="56"/>
          <w:szCs w:val="32"/>
        </w:rPr>
      </w:pPr>
    </w:p>
    <w:p>
      <w:pPr>
        <w:spacing w:line="640" w:lineRule="exact"/>
        <w:jc w:val="center"/>
        <w:rPr>
          <w:rFonts w:ascii="黑体" w:hAnsi="黑体" w:eastAsia="黑体"/>
          <w:sz w:val="52"/>
          <w:szCs w:val="52"/>
        </w:rPr>
      </w:pPr>
    </w:p>
    <w:p>
      <w:pPr>
        <w:spacing w:line="640" w:lineRule="exact"/>
        <w:jc w:val="center"/>
        <w:rPr>
          <w:rFonts w:ascii="黑体" w:hAnsi="黑体" w:eastAsia="黑体"/>
          <w:sz w:val="52"/>
          <w:szCs w:val="52"/>
        </w:rPr>
      </w:pPr>
    </w:p>
    <w:p>
      <w:pPr>
        <w:spacing w:line="640" w:lineRule="exact"/>
        <w:jc w:val="center"/>
        <w:rPr>
          <w:rFonts w:ascii="黑体" w:hAnsi="黑体" w:eastAsia="黑体"/>
          <w:sz w:val="52"/>
          <w:szCs w:val="52"/>
        </w:rPr>
      </w:pPr>
    </w:p>
    <w:p>
      <w:pPr>
        <w:spacing w:line="640" w:lineRule="exact"/>
        <w:jc w:val="center"/>
        <w:rPr>
          <w:rFonts w:ascii="黑体" w:hAnsi="黑体" w:eastAsia="黑体"/>
          <w:sz w:val="52"/>
          <w:szCs w:val="52"/>
        </w:rPr>
      </w:pPr>
    </w:p>
    <w:p>
      <w:pPr>
        <w:spacing w:line="640" w:lineRule="exact"/>
        <w:jc w:val="center"/>
        <w:rPr>
          <w:rFonts w:hint="eastAsia" w:ascii="黑体" w:hAnsi="黑体" w:eastAsia="黑体"/>
          <w:sz w:val="52"/>
          <w:szCs w:val="52"/>
        </w:rPr>
      </w:pPr>
    </w:p>
    <w:p>
      <w:pPr>
        <w:spacing w:line="640" w:lineRule="exact"/>
        <w:jc w:val="center"/>
        <w:rPr>
          <w:rFonts w:hint="eastAsia" w:ascii="黑体" w:hAnsi="黑体" w:eastAsia="黑体"/>
          <w:sz w:val="52"/>
          <w:szCs w:val="52"/>
        </w:rPr>
      </w:pPr>
    </w:p>
    <w:p>
      <w:pPr>
        <w:spacing w:line="640" w:lineRule="exact"/>
        <w:jc w:val="center"/>
        <w:rPr>
          <w:rFonts w:hint="eastAsia" w:ascii="黑体" w:hAnsi="黑体" w:eastAsia="黑体"/>
          <w:sz w:val="52"/>
          <w:szCs w:val="52"/>
        </w:rPr>
      </w:pPr>
    </w:p>
    <w:p>
      <w:pPr>
        <w:bidi w:val="0"/>
        <w:jc w:val="both"/>
        <w:rPr>
          <w:rFonts w:hint="eastAsia" w:ascii="新宋体" w:hAnsi="新宋体" w:eastAsia="新宋体" w:cs="新宋体"/>
          <w:b/>
          <w:bCs/>
          <w:sz w:val="44"/>
          <w:szCs w:val="48"/>
        </w:rPr>
      </w:pPr>
    </w:p>
    <w:p>
      <w:pPr>
        <w:bidi w:val="0"/>
        <w:jc w:val="both"/>
        <w:rPr>
          <w:rFonts w:hint="eastAsia" w:ascii="新宋体" w:hAnsi="新宋体" w:eastAsia="新宋体" w:cs="新宋体"/>
          <w:b/>
          <w:bCs/>
          <w:sz w:val="44"/>
          <w:szCs w:val="48"/>
        </w:rPr>
      </w:pPr>
    </w:p>
    <w:p>
      <w:pPr>
        <w:bidi w:val="0"/>
        <w:jc w:val="both"/>
        <w:rPr>
          <w:rFonts w:hint="eastAsia" w:ascii="新宋体" w:hAnsi="新宋体" w:eastAsia="新宋体" w:cs="新宋体"/>
          <w:b/>
          <w:bCs/>
          <w:sz w:val="44"/>
          <w:szCs w:val="48"/>
        </w:rPr>
      </w:pP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48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48"/>
        </w:rPr>
        <w:t>二</w:t>
      </w:r>
      <w:r>
        <w:rPr>
          <w:rFonts w:hint="eastAsia" w:ascii="微软雅黑" w:hAnsi="微软雅黑" w:eastAsia="微软雅黑" w:cs="微软雅黑"/>
          <w:b/>
          <w:bCs/>
          <w:sz w:val="44"/>
          <w:szCs w:val="48"/>
          <w:lang w:val="en-US" w:eastAsia="zh-CN"/>
        </w:rPr>
        <w:t>0</w:t>
      </w:r>
      <w:r>
        <w:rPr>
          <w:rFonts w:hint="eastAsia" w:ascii="微软雅黑" w:hAnsi="微软雅黑" w:eastAsia="微软雅黑" w:cs="微软雅黑"/>
          <w:b/>
          <w:bCs/>
          <w:sz w:val="44"/>
          <w:szCs w:val="48"/>
        </w:rPr>
        <w:t>二</w:t>
      </w:r>
      <w:r>
        <w:rPr>
          <w:rFonts w:hint="eastAsia" w:ascii="微软雅黑" w:hAnsi="微软雅黑" w:eastAsia="微软雅黑" w:cs="微软雅黑"/>
          <w:b/>
          <w:bCs/>
          <w:sz w:val="44"/>
          <w:szCs w:val="48"/>
          <w:lang w:val="en-US" w:eastAsia="zh-CN"/>
        </w:rPr>
        <w:t>四</w:t>
      </w:r>
      <w:r>
        <w:rPr>
          <w:rFonts w:hint="eastAsia" w:ascii="微软雅黑" w:hAnsi="微软雅黑" w:eastAsia="微软雅黑" w:cs="微软雅黑"/>
          <w:b/>
          <w:bCs/>
          <w:sz w:val="44"/>
          <w:szCs w:val="48"/>
        </w:rPr>
        <w:t>年</w:t>
      </w:r>
      <w:r>
        <w:rPr>
          <w:rFonts w:hint="eastAsia" w:ascii="微软雅黑" w:hAnsi="微软雅黑" w:eastAsia="微软雅黑" w:cs="微软雅黑"/>
          <w:b/>
          <w:bCs/>
          <w:sz w:val="44"/>
          <w:szCs w:val="48"/>
          <w:lang w:val="en-US" w:eastAsia="zh-CN"/>
        </w:rPr>
        <w:t>三</w:t>
      </w:r>
      <w:r>
        <w:rPr>
          <w:rFonts w:hint="eastAsia" w:ascii="微软雅黑" w:hAnsi="微软雅黑" w:eastAsia="微软雅黑" w:cs="微软雅黑"/>
          <w:b/>
          <w:bCs/>
          <w:sz w:val="44"/>
          <w:szCs w:val="48"/>
        </w:rPr>
        <w:t>月</w:t>
      </w:r>
    </w:p>
    <w:p>
      <w:pPr>
        <w:bidi w:val="0"/>
        <w:jc w:val="center"/>
        <w:rPr>
          <w:rFonts w:hint="eastAsia" w:ascii="新宋体" w:hAnsi="新宋体" w:eastAsia="新宋体" w:cs="新宋体"/>
          <w:sz w:val="44"/>
          <w:szCs w:val="48"/>
        </w:rPr>
      </w:pPr>
    </w:p>
    <w:p/>
    <w:p>
      <w:pPr>
        <w:kinsoku w:val="0"/>
        <w:overflowPunct w:val="0"/>
        <w:adjustRightInd w:val="0"/>
        <w:snapToGrid w:val="0"/>
        <w:spacing w:line="640" w:lineRule="exact"/>
        <w:ind w:firstLine="30" w:firstLineChars="7"/>
        <w:jc w:val="center"/>
        <w:rPr>
          <w:rFonts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目  录</w:t>
      </w:r>
    </w:p>
    <w:p>
      <w:pPr>
        <w:kinsoku w:val="0"/>
        <w:overflowPunct w:val="0"/>
        <w:adjustRightInd w:val="0"/>
        <w:snapToGrid w:val="0"/>
        <w:spacing w:line="64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第一部分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周口市川汇区金海社区卫生服务中心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 xml:space="preserve">概况 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960" w:firstLineChars="300"/>
        <w:jc w:val="left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一、主要职责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960" w:firstLineChars="300"/>
        <w:jc w:val="left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二、机构设置情况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第二部分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周口市川汇区金海社区卫生服务中心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2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024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年部门预算情况说明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名词解释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年度部门预算表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七、支出经济分类汇总表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八、一般公共预算“三公”经费支出情况表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九、政府性基金预算支出情况表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十、项目支出预算表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十一、部门(单位)整体绩效目标表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十二、部门预算项目绩效目标表</w:t>
      </w:r>
    </w:p>
    <w:p>
      <w:pPr>
        <w:pStyle w:val="2"/>
        <w:bidi w:val="0"/>
        <w:jc w:val="center"/>
        <w:rPr>
          <w:rFonts w:hint="eastAsia"/>
        </w:rPr>
      </w:pPr>
      <w:r>
        <w:rPr>
          <w:rFonts w:hint="eastAsia"/>
        </w:rPr>
        <w:t>第一部分</w:t>
      </w:r>
    </w:p>
    <w:p>
      <w:pPr>
        <w:pStyle w:val="2"/>
        <w:bidi w:val="0"/>
        <w:jc w:val="center"/>
      </w:pPr>
      <w:r>
        <w:rPr>
          <w:rFonts w:hint="eastAsia"/>
          <w:lang w:val="en-US" w:eastAsia="zh-CN"/>
        </w:rPr>
        <w:t>周口市川汇区金海社区卫生服务中心概况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ind w:left="0" w:firstLine="640" w:firstLineChars="200"/>
        <w:textAlignment w:val="auto"/>
        <w:outlineLvl w:val="0"/>
        <w:rPr>
          <w:rFonts w:ascii="黑体" w:hAnsi="仿宋_GB2312" w:eastAsia="黑体" w:cs="仿宋_GB2312"/>
          <w:sz w:val="32"/>
          <w:szCs w:val="32"/>
        </w:rPr>
      </w:pPr>
      <w:r>
        <w:rPr>
          <w:rFonts w:hint="eastAsia" w:ascii="黑体" w:hAnsi="仿宋_GB2312" w:eastAsia="黑体" w:cs="仿宋_GB2312"/>
          <w:sz w:val="32"/>
          <w:szCs w:val="32"/>
          <w:lang w:eastAsia="zh-CN"/>
        </w:rPr>
        <w:t>主要</w:t>
      </w:r>
      <w:r>
        <w:rPr>
          <w:rFonts w:hint="eastAsia" w:ascii="黑体" w:hAnsi="仿宋_GB2312" w:eastAsia="黑体" w:cs="仿宋_GB2312"/>
          <w:sz w:val="32"/>
          <w:szCs w:val="32"/>
        </w:rPr>
        <w:t>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负责辖区居民的中医疾病的诊疗、康复、保健工作。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展中医常见病、多发病的诊疗，急、危、重症的救治工作。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开展中医疾病的预防，卫生宣教和健康知识保健；积极发掘医学遗产，开展中医药的科研和开发利用。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利用中西医结合，治疗脑中风，精神分裂症、抑郁症等疾病的诊疗工作。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开展基层卫生保健的实施，社区居民健康保健、城镇居民医疗保险和新农合工作的实施。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对基层农村卫生人员进行中医知识培训和技术指导。</w:t>
      </w:r>
    </w:p>
    <w:p>
      <w:pPr>
        <w:numPr>
          <w:ilvl w:val="0"/>
          <w:numId w:val="0"/>
        </w:numPr>
        <w:adjustRightInd w:val="0"/>
        <w:snapToGrid w:val="0"/>
        <w:spacing w:line="640" w:lineRule="exact"/>
        <w:ind w:left="640" w:leftChars="0"/>
        <w:outlineLvl w:val="0"/>
        <w:rPr>
          <w:rFonts w:hint="eastAsia" w:ascii="黑体" w:hAnsi="仿宋_GB2312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仿宋_GB2312" w:eastAsia="黑体" w:cs="仿宋_GB2312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sz w:val="32"/>
          <w:szCs w:val="32"/>
          <w:lang w:val="en-US" w:eastAsia="zh-CN"/>
        </w:rPr>
        <w:t>周口市川汇区金海社区卫生服务中心机构设置情况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kern w:val="2"/>
          <w:sz w:val="32"/>
          <w:szCs w:val="32"/>
          <w:lang w:val="en-US" w:eastAsia="zh-CN" w:bidi="ar-SA"/>
        </w:rPr>
        <w:t>机构规格相当于股级；事业编制23名，经费实行财政差额预算管理。</w:t>
      </w:r>
    </w:p>
    <w:p>
      <w:pPr>
        <w:widowControl/>
        <w:ind w:firstLine="56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分类意见：从事公益服务</w:t>
      </w:r>
    </w:p>
    <w:p>
      <w:pPr>
        <w:spacing w:line="600" w:lineRule="exact"/>
        <w:ind w:firstLine="640"/>
        <w:rPr>
          <w:rFonts w:ascii="仿宋_GB2312" w:eastAsia="仿宋_GB2312"/>
          <w:sz w:val="32"/>
          <w:szCs w:val="32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</w:pP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新宋体" w:hAnsi="新宋体" w:eastAsia="新宋体" w:cs="新宋体"/>
        </w:rPr>
      </w:pPr>
      <w:r>
        <w:rPr>
          <w:rFonts w:hint="eastAsia" w:ascii="新宋体" w:hAnsi="新宋体" w:eastAsia="新宋体" w:cs="新宋体"/>
        </w:rPr>
        <w:t>第二部分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新宋体" w:hAnsi="新宋体" w:eastAsia="新宋体" w:cs="新宋体"/>
          <w:lang w:val="en-US" w:eastAsia="zh-CN"/>
        </w:rPr>
      </w:pPr>
      <w:r>
        <w:rPr>
          <w:rFonts w:hint="eastAsia" w:ascii="新宋体" w:hAnsi="新宋体" w:eastAsia="新宋体" w:cs="新宋体"/>
          <w:lang w:val="en-US" w:eastAsia="zh-CN"/>
        </w:rPr>
        <w:t>周口市川汇区金海社区卫生服务中心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新宋体" w:hAnsi="新宋体" w:eastAsia="新宋体" w:cs="新宋体"/>
        </w:rPr>
      </w:pPr>
      <w:r>
        <w:rPr>
          <w:rFonts w:hint="eastAsia" w:ascii="新宋体" w:hAnsi="新宋体" w:eastAsia="新宋体" w:cs="新宋体"/>
          <w:lang w:val="en-US" w:eastAsia="zh-CN"/>
        </w:rPr>
        <w:t>2024</w:t>
      </w:r>
      <w:r>
        <w:rPr>
          <w:rFonts w:hint="eastAsia" w:ascii="新宋体" w:hAnsi="新宋体" w:eastAsia="新宋体" w:cs="新宋体"/>
        </w:rPr>
        <w:t>年度部门预算情况说明</w:t>
      </w:r>
    </w:p>
    <w:p>
      <w:pPr>
        <w:adjustRightInd w:val="0"/>
        <w:snapToGrid w:val="0"/>
        <w:spacing w:line="640" w:lineRule="exact"/>
        <w:ind w:firstLine="640" w:firstLineChars="200"/>
        <w:outlineLvl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640" w:lineRule="exact"/>
        <w:ind w:firstLine="632" w:firstLineChars="200"/>
        <w:rPr>
          <w:rFonts w:ascii="Arial" w:hAnsi="Arial" w:eastAsia="仿宋_GB2312" w:cs="Arial"/>
          <w:color w:val="auto"/>
          <w:sz w:val="32"/>
          <w:szCs w:val="32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20</w:t>
      </w: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年收入总计</w:t>
      </w: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 xml:space="preserve"> 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，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支出总计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万元，与202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年预算相比，收入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增加20.53万元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，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增加11.06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%。主要原因：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2024年人员经费收入增加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。支出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增加20.53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增加11.06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%。主要原因：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2024年人员经费支出增加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 xml:space="preserve">。 </w:t>
      </w:r>
      <w:r>
        <w:rPr>
          <w:rFonts w:hint="eastAsia" w:ascii="Arial" w:hAnsi="Arial" w:eastAsia="仿宋_GB2312" w:cs="Arial"/>
          <w:color w:val="auto"/>
          <w:sz w:val="32"/>
          <w:szCs w:val="32"/>
        </w:rPr>
        <w:t xml:space="preserve"> </w:t>
      </w:r>
    </w:p>
    <w:p>
      <w:pPr>
        <w:adjustRightInd w:val="0"/>
        <w:snapToGrid w:val="0"/>
        <w:spacing w:line="640" w:lineRule="exact"/>
        <w:ind w:firstLine="640" w:firstLineChars="20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640" w:lineRule="exact"/>
        <w:ind w:firstLine="64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年收入合计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万元;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上年结转结余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收入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</w:t>
      </w:r>
    </w:p>
    <w:p>
      <w:pPr>
        <w:spacing w:line="640" w:lineRule="exact"/>
        <w:ind w:firstLine="640" w:firstLineChars="200"/>
        <w:outlineLvl w:val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三、支出预算总体情况说明</w:t>
      </w:r>
    </w:p>
    <w:p>
      <w:pPr>
        <w:spacing w:line="640" w:lineRule="exact"/>
        <w:ind w:firstLine="632" w:firstLineChars="200"/>
        <w:rPr>
          <w:rFonts w:hint="eastAsia" w:ascii="仿宋_GB2312" w:hAnsi="仿宋_GB2312" w:eastAsia="仿宋" w:cs="仿宋_GB2312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年支出合计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。</w:t>
      </w:r>
    </w:p>
    <w:p>
      <w:pPr>
        <w:spacing w:line="640" w:lineRule="exact"/>
        <w:ind w:firstLine="640" w:firstLineChars="200"/>
        <w:outlineLvl w:val="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四、财政拨款收入支出预算总体情况说明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年一般公共预算收支预算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共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，其中本年一般公共预算拨款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206.1万元，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上年结转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0万元。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政府性基金收支预算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与 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年相比，一般公共预算收支预算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增加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20.53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增加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11.06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%，主要原因：202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人员经费收支增加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；政府性基金收支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不变，均为0万元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。</w:t>
      </w:r>
    </w:p>
    <w:p>
      <w:pPr>
        <w:spacing w:line="640" w:lineRule="exact"/>
        <w:ind w:firstLine="640" w:firstLineChars="200"/>
        <w:outlineLvl w:val="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五、一般公共预算支出预算情况说明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年一般公共预算支出年初预算为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万元。其中：基本支出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%；项目支出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万元。</w:t>
      </w:r>
    </w:p>
    <w:p>
      <w:pPr>
        <w:spacing w:line="640" w:lineRule="exact"/>
        <w:ind w:firstLine="640" w:firstLineChars="200"/>
        <w:outlineLvl w:val="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六、一般公共预算基本支出预算情况说明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年一般公共预算基本支出年初预算为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206.1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万元。其中：人员经费支出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204.9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99.42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%；主要包括基本工资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88.7万元；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绩效工资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23.3万元；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离退休费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20.5万元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；奖金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35.3万元；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机关事业单位养老保险缴费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23.4万元；津贴补贴7.6万元等支出。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公用经费支出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1.2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0.58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%。</w:t>
      </w:r>
    </w:p>
    <w:p>
      <w:pPr>
        <w:spacing w:line="640" w:lineRule="exact"/>
        <w:ind w:firstLine="640" w:firstLineChars="200"/>
        <w:outlineLvl w:val="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七、“三公”经费支出预算情况说明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年“三公”经费预算为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eastAsia="zh-CN"/>
        </w:rPr>
        <w:t>，预算数与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2023年一致，均为0万元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。</w:t>
      </w:r>
    </w:p>
    <w:p>
      <w:pPr>
        <w:spacing w:line="640" w:lineRule="exact"/>
        <w:ind w:firstLine="640" w:firstLineChars="200"/>
        <w:outlineLvl w:val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八、政府性基金预算支出预算情况说明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年无使用政府性基金预算拨款安排的支出。</w:t>
      </w:r>
    </w:p>
    <w:p>
      <w:pPr>
        <w:spacing w:line="640" w:lineRule="exact"/>
        <w:ind w:firstLine="640" w:firstLineChars="200"/>
        <w:outlineLvl w:val="0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九、2024年项目支出情况说明</w:t>
      </w:r>
    </w:p>
    <w:p>
      <w:pPr>
        <w:spacing w:line="640" w:lineRule="exact"/>
        <w:ind w:firstLine="632" w:firstLineChars="200"/>
        <w:outlineLvl w:val="0"/>
        <w:rPr>
          <w:rFonts w:hint="default" w:ascii="黑体" w:hAnsi="黑体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无项目拨款支出。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十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Times New Roman" w:eastAsia="黑体" w:cs="黑体"/>
          <w:color w:val="auto"/>
          <w:sz w:val="32"/>
          <w:szCs w:val="32"/>
        </w:rPr>
        <w:t>其他重要事项情况说明（以下情况金额为0的，仍需进行情况说明，部门</w:t>
      </w:r>
      <w:r>
        <w:rPr>
          <w:rFonts w:ascii="黑体" w:hAnsi="Times New Roman" w:eastAsia="黑体" w:cs="黑体"/>
          <w:color w:val="auto"/>
          <w:sz w:val="32"/>
          <w:szCs w:val="32"/>
        </w:rPr>
        <w:t>所属单位不包括</w:t>
      </w:r>
      <w:r>
        <w:rPr>
          <w:rFonts w:hint="eastAsia" w:ascii="黑体" w:hAnsi="Times New Roman" w:eastAsia="黑体" w:cs="黑体"/>
          <w:color w:val="auto"/>
          <w:sz w:val="32"/>
          <w:szCs w:val="32"/>
        </w:rPr>
        <w:t>第五条）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outlineLvl w:val="0"/>
        <w:rPr>
          <w:rFonts w:ascii="楷体_GB2312" w:hAnsi="仿宋_GB2312" w:eastAsia="楷体_GB2312" w:cs="仿宋_GB2312"/>
          <w:color w:val="auto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auto"/>
          <w:sz w:val="32"/>
          <w:szCs w:val="32"/>
        </w:rPr>
        <w:t>（</w:t>
      </w:r>
      <w:r>
        <w:rPr>
          <w:rFonts w:hint="eastAsia" w:ascii="楷体_GB2312" w:hAnsi="仿宋_GB2312" w:eastAsia="楷体_GB2312" w:cs="仿宋_GB2312"/>
          <w:color w:val="auto"/>
          <w:sz w:val="32"/>
          <w:szCs w:val="32"/>
          <w:lang w:eastAsia="zh-CN"/>
        </w:rPr>
        <w:t>一</w:t>
      </w:r>
      <w:r>
        <w:rPr>
          <w:rFonts w:hint="eastAsia" w:ascii="楷体_GB2312" w:hAnsi="仿宋_GB2312" w:eastAsia="楷体_GB2312" w:cs="仿宋_GB2312"/>
          <w:color w:val="auto"/>
          <w:sz w:val="32"/>
          <w:szCs w:val="32"/>
        </w:rPr>
        <w:t>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color w:val="auto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年政府采购预算安排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万元，其中：政府采购货物预算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万元、政府采购工程预算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万元、政府采购服务预算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楷体_GB2312" w:hAnsi="仿宋_GB2312" w:eastAsia="楷体_GB2312" w:cs="仿宋_GB2312"/>
          <w:color w:val="auto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楷体_GB2312" w:hAnsi="仿宋_GB2312" w:eastAsia="楷体_GB2312" w:cs="仿宋_GB2312"/>
          <w:color w:val="auto"/>
          <w:sz w:val="32"/>
          <w:szCs w:val="32"/>
        </w:rPr>
        <w:t>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2"/>
          <w:sz w:val="32"/>
          <w:szCs w:val="32"/>
        </w:rPr>
        <w:t>年期末，本单位公用车辆0辆，单位价值50万元以上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通用设备0台（套），单位价值100万元以上专用设备0台（套）。</w:t>
      </w:r>
    </w:p>
    <w:p>
      <w:pPr>
        <w:numPr>
          <w:ilvl w:val="0"/>
          <w:numId w:val="0"/>
        </w:num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outlineLvl w:val="0"/>
        <w:rPr>
          <w:rFonts w:ascii="楷体_GB2312" w:hAnsi="仿宋_GB2312" w:eastAsia="楷体_GB2312" w:cs="仿宋_GB2312"/>
          <w:sz w:val="32"/>
          <w:szCs w:val="32"/>
        </w:rPr>
      </w:pPr>
      <w:r>
        <w:rPr>
          <w:rFonts w:hint="eastAsia" w:ascii="楷体_GB2312" w:hAnsi="仿宋_GB2312" w:eastAsia="楷体_GB2312" w:cs="仿宋_GB2312"/>
          <w:sz w:val="32"/>
          <w:szCs w:val="32"/>
          <w:lang w:eastAsia="zh-CN"/>
        </w:rPr>
        <w:t>（三）</w:t>
      </w:r>
      <w:r>
        <w:rPr>
          <w:rFonts w:hint="eastAsia" w:ascii="楷体_GB2312" w:hAnsi="仿宋_GB2312" w:eastAsia="楷体_GB2312" w:cs="仿宋_GB2312"/>
          <w:sz w:val="32"/>
          <w:szCs w:val="32"/>
        </w:rPr>
        <w:t>专项转移支付项目情况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-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无专项转移支付项目。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" w:hAnsi="仿宋" w:eastAsia="仿宋" w:cs="仿宋"/>
          <w:spacing w:val="-2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" w:hAnsi="仿宋" w:eastAsia="仿宋" w:cs="仿宋"/>
          <w:spacing w:val="-2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" w:hAnsi="仿宋" w:eastAsia="仿宋" w:cs="仿宋"/>
          <w:spacing w:val="-2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黑体" w:eastAsia="方正小标宋简体"/>
          <w:bCs/>
          <w:sz w:val="44"/>
          <w:szCs w:val="44"/>
        </w:rPr>
      </w:pPr>
      <w:r>
        <w:rPr>
          <w:rFonts w:hint="eastAsia" w:ascii="方正小标宋简体" w:hAnsi="黑体" w:eastAsia="方正小标宋简体"/>
          <w:bCs/>
          <w:sz w:val="44"/>
          <w:szCs w:val="44"/>
        </w:rPr>
        <w:t>第三部分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方正小标宋简体" w:hAnsi="黑体" w:eastAsia="方正小标宋简体"/>
          <w:bCs/>
          <w:sz w:val="44"/>
          <w:szCs w:val="44"/>
        </w:rPr>
        <w:t>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一、公共卫生事件：是指突然发生，造成或者可能造成社会公众健康严重损害的重大传染病疫情、群体性不明原因疾病、重大食物和职业中毒以及其他严重影响公众健康的事件。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二、中国国家基本药物制度：是对</w:t>
      </w:r>
      <w:r>
        <w:rPr>
          <w:rFonts w:hint="eastAsia" w:ascii="仿宋_GB2312" w:hAnsi="宋体" w:eastAsia="仿宋_GB2312" w:cs="Courier New"/>
          <w:sz w:val="32"/>
          <w:szCs w:val="32"/>
        </w:rPr>
        <w:fldChar w:fldCharType="begin"/>
      </w:r>
      <w:r>
        <w:rPr>
          <w:rFonts w:hint="eastAsia" w:ascii="仿宋_GB2312" w:hAnsi="宋体" w:eastAsia="仿宋_GB2312" w:cs="Courier New"/>
          <w:sz w:val="32"/>
          <w:szCs w:val="32"/>
        </w:rPr>
        <w:instrText xml:space="preserve"> HYPERLINK "https://baike.baidu.com/item/%E5%9F%BA%E6%9C%AC%E8%8D%AF%E7%89%A9%E7%9B%AE%E5%BD%95/2301193" \t "https://baike.baidu.com/item/%E5%9B%BD%E5%AE%B6%E5%9F%BA%E6%9C%AC%E8%8D%AF%E7%89%A9%E5%88%B6%E5%BA%A6/_blank" </w:instrText>
      </w:r>
      <w:r>
        <w:rPr>
          <w:rFonts w:hint="eastAsia" w:ascii="仿宋_GB2312" w:hAnsi="宋体" w:eastAsia="仿宋_GB2312" w:cs="Courier New"/>
          <w:sz w:val="32"/>
          <w:szCs w:val="32"/>
        </w:rPr>
        <w:fldChar w:fldCharType="separate"/>
      </w:r>
      <w:r>
        <w:rPr>
          <w:rFonts w:hint="eastAsia" w:ascii="仿宋_GB2312" w:hAnsi="宋体" w:eastAsia="仿宋_GB2312" w:cs="Courier New"/>
          <w:sz w:val="32"/>
          <w:szCs w:val="32"/>
        </w:rPr>
        <w:t>基本药物目录</w:t>
      </w:r>
      <w:r>
        <w:rPr>
          <w:rFonts w:hint="eastAsia" w:ascii="仿宋_GB2312" w:hAnsi="宋体" w:eastAsia="仿宋_GB2312" w:cs="Courier New"/>
          <w:sz w:val="32"/>
          <w:szCs w:val="32"/>
        </w:rPr>
        <w:fldChar w:fldCharType="end"/>
      </w:r>
      <w:r>
        <w:rPr>
          <w:rFonts w:hint="eastAsia" w:ascii="仿宋_GB2312" w:hAnsi="宋体" w:eastAsia="仿宋_GB2312" w:cs="Courier New"/>
          <w:sz w:val="32"/>
          <w:szCs w:val="32"/>
        </w:rPr>
        <w:t>制定、生产供应、采购配送、合理使用、价格管理、支付报销、质量监管、监测评价等多个环节实施有效管理的制度。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三、基本支出：是指为保障机构正常运转、完成日常工作任务所必需的开支，其内容包括人员经费和日常公用经费两部分。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四、项目支出：是指在基本支出之外，为完成特定的行政工作任务或事业发展目标所发生的支出。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五、“三公”经费：是指纳入区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六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Courier New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周口市川汇区金海社区卫生服务中心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年度部门预算表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640" w:lineRule="exact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 w:start="1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8"/>
        <w:gridCol w:w="1421"/>
        <w:gridCol w:w="2841"/>
        <w:gridCol w:w="14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预算01表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2024年部门收支总体情况表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16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收入</w:t>
            </w:r>
          </w:p>
        </w:tc>
        <w:tc>
          <w:tcPr>
            <w:tcW w:w="2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项目  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金额  </w:t>
            </w: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项目  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一、一般公共服务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其中：财政拨款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二、外交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三、国防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四、公共安全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四、财政专户管理资金收入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五、教育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五、事业收入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六、科学技术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六、事业单位经营收入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七、文化旅游体育与传媒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七、上级补助收入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八、社会保障和就业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八、附属单位上缴收入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九、其他收入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十、卫生健康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十一、节能环保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十二、城乡社区事务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十三、农林水事务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十四、交通运输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十五、资源勘探信息等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十六、商业服务业等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十九、援助其他地区支出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二十、自然资源海洋气象等支出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二十一、住房保障支出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二十二、粮油物资储备支出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二十三、国有资本经营预算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二十四、灾害防治及应急管理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二十七、预备费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二十九、其他支出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三十、转移性支出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三十一、债务还本支出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三十二、债务付息支出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三十三、债务发行费用支出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24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三十四、抗疫特别国债安排的支出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 年 收 入 合 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 年 支 出 合 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上年结转结余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年终结转结余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 入 总 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 出 总 计</w:t>
            </w: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3"/>
        <w:gridCol w:w="1263"/>
        <w:gridCol w:w="666"/>
        <w:gridCol w:w="666"/>
        <w:gridCol w:w="666"/>
        <w:gridCol w:w="872"/>
        <w:gridCol w:w="577"/>
        <w:gridCol w:w="713"/>
        <w:gridCol w:w="807"/>
        <w:gridCol w:w="533"/>
        <w:gridCol w:w="714"/>
        <w:gridCol w:w="624"/>
        <w:gridCol w:w="714"/>
        <w:gridCol w:w="578"/>
        <w:gridCol w:w="439"/>
        <w:gridCol w:w="624"/>
        <w:gridCol w:w="578"/>
        <w:gridCol w:w="714"/>
        <w:gridCol w:w="754"/>
        <w:gridCol w:w="6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预算02表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2024年部门收入总体情况表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748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部门（单位）代码</w:t>
            </w:r>
          </w:p>
        </w:tc>
        <w:tc>
          <w:tcPr>
            <w:tcW w:w="44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部门（单位）名称</w:t>
            </w:r>
          </w:p>
        </w:tc>
        <w:tc>
          <w:tcPr>
            <w:tcW w:w="2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总计</w:t>
            </w:r>
          </w:p>
        </w:tc>
        <w:tc>
          <w:tcPr>
            <w:tcW w:w="2632" w:type="pct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本年收入</w:t>
            </w:r>
          </w:p>
        </w:tc>
        <w:tc>
          <w:tcPr>
            <w:tcW w:w="133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上年结转结余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5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一般公共预算</w:t>
            </w:r>
          </w:p>
        </w:tc>
        <w:tc>
          <w:tcPr>
            <w:tcW w:w="20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政府性基金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</w:t>
            </w:r>
          </w:p>
        </w:tc>
        <w:tc>
          <w:tcPr>
            <w:tcW w:w="2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财政专户管理资金收入</w:t>
            </w:r>
          </w:p>
        </w:tc>
        <w:tc>
          <w:tcPr>
            <w:tcW w:w="18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事业收入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事业单位经营收入</w:t>
            </w:r>
          </w:p>
        </w:tc>
        <w:tc>
          <w:tcPr>
            <w:tcW w:w="22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上级补助收入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附属单位上缴收入</w:t>
            </w:r>
          </w:p>
        </w:tc>
        <w:tc>
          <w:tcPr>
            <w:tcW w:w="19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其他收入  </w:t>
            </w:r>
          </w:p>
        </w:tc>
        <w:tc>
          <w:tcPr>
            <w:tcW w:w="15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2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一般公共预算</w:t>
            </w:r>
          </w:p>
        </w:tc>
        <w:tc>
          <w:tcPr>
            <w:tcW w:w="20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政府性基金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财政专户管理资金</w:t>
            </w:r>
          </w:p>
        </w:tc>
        <w:tc>
          <w:tcPr>
            <w:tcW w:w="25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单位资金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3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其中：财政拨款</w:t>
            </w:r>
          </w:p>
        </w:tc>
        <w:tc>
          <w:tcPr>
            <w:tcW w:w="20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501007</w:t>
            </w:r>
          </w:p>
        </w:tc>
        <w:tc>
          <w:tcPr>
            <w:tcW w:w="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周口市川汇区金海社区卫生服务中心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2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"/>
        <w:gridCol w:w="453"/>
        <w:gridCol w:w="456"/>
        <w:gridCol w:w="683"/>
        <w:gridCol w:w="2288"/>
        <w:gridCol w:w="1086"/>
        <w:gridCol w:w="1087"/>
        <w:gridCol w:w="1087"/>
        <w:gridCol w:w="1089"/>
        <w:gridCol w:w="1087"/>
        <w:gridCol w:w="1098"/>
        <w:gridCol w:w="1087"/>
        <w:gridCol w:w="1106"/>
        <w:gridCol w:w="10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预算03表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2024年部门支出总体情况表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614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84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4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单位代码</w:t>
            </w:r>
          </w:p>
        </w:tc>
        <w:tc>
          <w:tcPr>
            <w:tcW w:w="8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单位（科目名称）</w:t>
            </w:r>
          </w:p>
        </w:tc>
        <w:tc>
          <w:tcPr>
            <w:tcW w:w="3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924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基本支出  </w:t>
            </w:r>
          </w:p>
        </w:tc>
        <w:tc>
          <w:tcPr>
            <w:tcW w:w="115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84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76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77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3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其他运转类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特定目标类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款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2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资本性支出</w:t>
            </w:r>
          </w:p>
        </w:tc>
        <w:tc>
          <w:tcPr>
            <w:tcW w:w="3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</w:t>
            </w:r>
          </w:p>
        </w:tc>
        <w:tc>
          <w:tcPr>
            <w:tcW w:w="2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事业单位离退休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2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03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2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城市社区卫生机构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156.0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156.0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154.9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2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其他行政事业单位医疗支出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6"/>
        <w:gridCol w:w="1355"/>
        <w:gridCol w:w="2846"/>
        <w:gridCol w:w="1423"/>
        <w:gridCol w:w="1423"/>
        <w:gridCol w:w="1423"/>
        <w:gridCol w:w="1432"/>
        <w:gridCol w:w="14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预算04表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2024年财政拨款收支总体情况表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497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48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收入  </w:t>
            </w:r>
          </w:p>
        </w:tc>
        <w:tc>
          <w:tcPr>
            <w:tcW w:w="3517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支出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00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项 目  </w:t>
            </w:r>
          </w:p>
        </w:tc>
        <w:tc>
          <w:tcPr>
            <w:tcW w:w="47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　额</w:t>
            </w:r>
          </w:p>
        </w:tc>
        <w:tc>
          <w:tcPr>
            <w:tcW w:w="100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项 目  </w:t>
            </w:r>
          </w:p>
        </w:tc>
        <w:tc>
          <w:tcPr>
            <w:tcW w:w="5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0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一般公共预算  </w:t>
            </w:r>
          </w:p>
        </w:tc>
        <w:tc>
          <w:tcPr>
            <w:tcW w:w="50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政府性基金  </w:t>
            </w:r>
          </w:p>
        </w:tc>
        <w:tc>
          <w:tcPr>
            <w:tcW w:w="5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00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小计  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其中：财政拨款</w:t>
            </w:r>
          </w:p>
        </w:tc>
        <w:tc>
          <w:tcPr>
            <w:tcW w:w="50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一、本年收入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一、本年支出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（一）一般公共预算拨款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（一）一般公共服务支出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 其中：财政拨款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（二）外交支出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（二）政府性基金预算拨款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（三）国防支出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（三）国有资本经营预算拨款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（四）公共安全支出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二、上年结转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（五）教育支出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（一）一般公共预算拨款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（六）科学技术支出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（二）政府性基金预算拨款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（七）文化体育旅游与传媒支出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（三）国有资本经营预算拨款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（八）社会保障和就业支出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43.9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43.9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43.9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（九）医疗卫生与计划生育支出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（十）卫生健康支出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162.3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162.3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162.3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（十一）节能环保支出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（十二）城乡社区事务支出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（十三）农林水事务支出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（十四）交通运输支出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（十五）资源勘探信息等支出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（十六）商业服务业等支出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（十七）金融支出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（十九）援助其他地区支出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（二十）自然资源海洋气象等支出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（二十一）住房保障支出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（二十二）粮油物资储备支出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（二十三）国有资本经营预算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（二十四）灾害防治及应急管理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（二十七）预备费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（二十九）其他支出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（三十）转移性支出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（三十一）债务还本支出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（三十二）债务付息支出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（三十三）债务发行费用支出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（三十四）抗疫特别国债安排的支出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二、年终结转结余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收入合计：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支出合计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"/>
        <w:gridCol w:w="432"/>
        <w:gridCol w:w="435"/>
        <w:gridCol w:w="651"/>
        <w:gridCol w:w="2179"/>
        <w:gridCol w:w="1362"/>
        <w:gridCol w:w="1362"/>
        <w:gridCol w:w="1034"/>
        <w:gridCol w:w="1039"/>
        <w:gridCol w:w="1034"/>
        <w:gridCol w:w="1048"/>
        <w:gridCol w:w="1034"/>
        <w:gridCol w:w="1042"/>
        <w:gridCol w:w="10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预算05表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2024年一般公共预算支出情况表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632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62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3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单位代码</w:t>
            </w:r>
          </w:p>
        </w:tc>
        <w:tc>
          <w:tcPr>
            <w:tcW w:w="77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单位（科目名称）</w:t>
            </w:r>
          </w:p>
        </w:tc>
        <w:tc>
          <w:tcPr>
            <w:tcW w:w="48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95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基本支出  </w:t>
            </w:r>
          </w:p>
        </w:tc>
        <w:tc>
          <w:tcPr>
            <w:tcW w:w="1102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62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73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73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36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36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其他运转类</w:t>
            </w:r>
          </w:p>
        </w:tc>
        <w:tc>
          <w:tcPr>
            <w:tcW w:w="36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特定目标类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款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23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资本性支出</w:t>
            </w:r>
          </w:p>
        </w:tc>
        <w:tc>
          <w:tcPr>
            <w:tcW w:w="36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184.5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184.5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事业单位离退休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20.5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03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城市社区卫生机构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156.0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156.0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154.9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其他行政事业单位医疗支出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4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97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备注：本表仅含当年财政拨款安排的支出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5"/>
        <w:gridCol w:w="2466"/>
        <w:gridCol w:w="1845"/>
        <w:gridCol w:w="2466"/>
        <w:gridCol w:w="1845"/>
        <w:gridCol w:w="1858"/>
        <w:gridCol w:w="18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预算06表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2024年一般公共预算基本支出表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47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52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部门预算支出经济分类科目</w:t>
            </w:r>
          </w:p>
        </w:tc>
        <w:tc>
          <w:tcPr>
            <w:tcW w:w="152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政府预算支出经济分类科目编码</w:t>
            </w:r>
          </w:p>
        </w:tc>
        <w:tc>
          <w:tcPr>
            <w:tcW w:w="1957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本年一般公共预算基本支出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205.0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离休费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50905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离退休费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11.5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11.5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30302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退休费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50905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离退休费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9.0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9.0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30108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机关事业单位基本养老保险缴费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基本工资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88.7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88.7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30107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绩效工资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23.3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23.3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30102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津贴补贴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7.6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7.6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30103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奖金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35.3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35.3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50502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30112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其他社会保障缴费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30110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职工基本医疗保险缴费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50501</w:t>
            </w:r>
          </w:p>
        </w:tc>
        <w:tc>
          <w:tcPr>
            <w:tcW w:w="8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"/>
        <w:gridCol w:w="396"/>
        <w:gridCol w:w="1040"/>
        <w:gridCol w:w="486"/>
        <w:gridCol w:w="396"/>
        <w:gridCol w:w="1040"/>
        <w:gridCol w:w="858"/>
        <w:gridCol w:w="858"/>
        <w:gridCol w:w="859"/>
        <w:gridCol w:w="859"/>
        <w:gridCol w:w="859"/>
        <w:gridCol w:w="859"/>
        <w:gridCol w:w="859"/>
        <w:gridCol w:w="859"/>
        <w:gridCol w:w="859"/>
        <w:gridCol w:w="859"/>
        <w:gridCol w:w="885"/>
        <w:gridCol w:w="8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预算07表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2024年支出经济分类汇总表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68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部门预算经济分类  </w:t>
            </w:r>
          </w:p>
        </w:tc>
        <w:tc>
          <w:tcPr>
            <w:tcW w:w="62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政府预算经济分类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总计</w:t>
            </w:r>
          </w:p>
        </w:tc>
        <w:tc>
          <w:tcPr>
            <w:tcW w:w="62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一般公共预算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政府性基金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上年结转结余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财政专户管理资金收入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事业收入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上级补助收入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附属单位上缴收入</w:t>
            </w:r>
          </w:p>
        </w:tc>
        <w:tc>
          <w:tcPr>
            <w:tcW w:w="31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事业单位经营收入</w:t>
            </w:r>
          </w:p>
        </w:tc>
        <w:tc>
          <w:tcPr>
            <w:tcW w:w="3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其他收入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类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款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类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款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其中：财政拨款</w:t>
            </w: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206.1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离休费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离退休费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11.5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11.5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11.5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退休费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05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离退休费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9.0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9.0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9.0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08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机关事业单位基本养老保险缴费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23.4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基本工资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88.7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88.7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88.7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07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绩效工资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23.3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23.3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23.3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津贴补贴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7.6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7.6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7.6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03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奖金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35.3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35.3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35.3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办公费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其他社会保障缴费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职工基本医疗保险缴费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1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1"/>
        <w:gridCol w:w="2361"/>
        <w:gridCol w:w="2359"/>
        <w:gridCol w:w="2359"/>
        <w:gridCol w:w="2370"/>
        <w:gridCol w:w="236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预算08表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2024年一般公共预算“三公”经费支出情况表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166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8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“三公”经费合计</w:t>
            </w:r>
          </w:p>
        </w:tc>
        <w:tc>
          <w:tcPr>
            <w:tcW w:w="8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因公出国（境）费</w:t>
            </w:r>
          </w:p>
        </w:tc>
        <w:tc>
          <w:tcPr>
            <w:tcW w:w="25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公务用车购置及运行费</w:t>
            </w:r>
          </w:p>
        </w:tc>
        <w:tc>
          <w:tcPr>
            <w:tcW w:w="8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公务接待费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8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公务用车购置费</w:t>
            </w:r>
          </w:p>
        </w:tc>
        <w:tc>
          <w:tcPr>
            <w:tcW w:w="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公务用车运行费</w:t>
            </w:r>
          </w:p>
        </w:tc>
        <w:tc>
          <w:tcPr>
            <w:tcW w:w="8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按照党中央、国务院有关规定及部门预算管理有关规定，“三公”经费包括因公出国（境）费、公务用车购置及运行费和公务接待费。（1）因公出国（境）费，指单位工作人员公务出国（境）的住宿费、旅费、伙食补助费、杂费、培训费等支出。（2）公务用车购置及运行费，指单位公务用车购置费及租用费、燃料费、维修费、过路过桥费、保险费、安全奖励费用等支出，公务用车指用于履行公务的机动车辆，包括领导干部专车、一般公务用车和执法执勤用车。（3）公务接待费，指单位按规定开支的各类公务接待（含外宾接待）支出。</w:t>
            </w: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"/>
        <w:gridCol w:w="453"/>
        <w:gridCol w:w="459"/>
        <w:gridCol w:w="683"/>
        <w:gridCol w:w="2279"/>
        <w:gridCol w:w="1086"/>
        <w:gridCol w:w="1086"/>
        <w:gridCol w:w="1086"/>
        <w:gridCol w:w="1086"/>
        <w:gridCol w:w="1086"/>
        <w:gridCol w:w="1089"/>
        <w:gridCol w:w="1086"/>
        <w:gridCol w:w="1100"/>
        <w:gridCol w:w="114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预算09表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2024年政府性基金预算支出情况表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597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82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4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单位代码</w:t>
            </w:r>
          </w:p>
        </w:tc>
        <w:tc>
          <w:tcPr>
            <w:tcW w:w="80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单位（科目名称）</w:t>
            </w:r>
          </w:p>
        </w:tc>
        <w:tc>
          <w:tcPr>
            <w:tcW w:w="38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916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基本支出  </w:t>
            </w:r>
          </w:p>
        </w:tc>
        <w:tc>
          <w:tcPr>
            <w:tcW w:w="117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82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7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76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38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3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其他运转类</w:t>
            </w:r>
          </w:p>
        </w:tc>
        <w:tc>
          <w:tcPr>
            <w:tcW w:w="4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特定目标类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款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24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资本性支出</w:t>
            </w:r>
          </w:p>
        </w:tc>
        <w:tc>
          <w:tcPr>
            <w:tcW w:w="38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1173"/>
        <w:gridCol w:w="1174"/>
        <w:gridCol w:w="1174"/>
        <w:gridCol w:w="1174"/>
        <w:gridCol w:w="1174"/>
        <w:gridCol w:w="1179"/>
        <w:gridCol w:w="1174"/>
        <w:gridCol w:w="1174"/>
        <w:gridCol w:w="1179"/>
        <w:gridCol w:w="1193"/>
        <w:gridCol w:w="12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预算10表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2024年项目支出表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563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1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类型</w:t>
            </w:r>
          </w:p>
        </w:tc>
        <w:tc>
          <w:tcPr>
            <w:tcW w:w="41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项目单位</w:t>
            </w:r>
          </w:p>
        </w:tc>
        <w:tc>
          <w:tcPr>
            <w:tcW w:w="41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24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本年拨款</w:t>
            </w:r>
          </w:p>
        </w:tc>
        <w:tc>
          <w:tcPr>
            <w:tcW w:w="124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财政拨款结转结余</w:t>
            </w:r>
          </w:p>
        </w:tc>
        <w:tc>
          <w:tcPr>
            <w:tcW w:w="41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财政专户管理资金</w:t>
            </w:r>
          </w:p>
        </w:tc>
        <w:tc>
          <w:tcPr>
            <w:tcW w:w="43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单位资金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41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一般公共预算</w:t>
            </w: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政府性基金预算</w:t>
            </w: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</w:t>
            </w: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一般公共预算</w:t>
            </w: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政府性基金预算</w:t>
            </w: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</w:t>
            </w:r>
          </w:p>
        </w:tc>
        <w:tc>
          <w:tcPr>
            <w:tcW w:w="41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3"/>
        <w:gridCol w:w="1312"/>
        <w:gridCol w:w="1992"/>
        <w:gridCol w:w="1060"/>
        <w:gridCol w:w="29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预算11表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部门（单位）整体绩效目标表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（2024年度）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7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年度履职目标</w:t>
            </w:r>
          </w:p>
        </w:tc>
        <w:tc>
          <w:tcPr>
            <w:tcW w:w="4281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年度主要任务</w:t>
            </w:r>
          </w:p>
        </w:tc>
        <w:tc>
          <w:tcPr>
            <w:tcW w:w="19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任务名称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主要内容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预算情况  </w:t>
            </w:r>
          </w:p>
        </w:tc>
        <w:tc>
          <w:tcPr>
            <w:tcW w:w="19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部门预算总额（万元）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1、资金来源：</w:t>
            </w:r>
          </w:p>
        </w:tc>
        <w:tc>
          <w:tcPr>
            <w:tcW w:w="11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（1）政府预算资金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（2）财政专户管理资金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（3）单位资金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2、资金结构：</w:t>
            </w:r>
          </w:p>
        </w:tc>
        <w:tc>
          <w:tcPr>
            <w:tcW w:w="11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（1）基本支出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（2）项目支出</w:t>
            </w:r>
          </w:p>
        </w:tc>
        <w:tc>
          <w:tcPr>
            <w:tcW w:w="234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指标值说明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投入管理指标  </w:t>
            </w:r>
          </w:p>
        </w:tc>
        <w:tc>
          <w:tcPr>
            <w:tcW w:w="77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工作目标管理  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年度履职目标相关性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工作任务科学性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绩效指标合理性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预算和财务管理  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预算编制完整性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专项资金细化率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预算调整率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结转结余率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“三公经费”控制率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政府采购执行率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决算真实性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资金使用合规性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管理制度健全性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预决算信息公开性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资产管理规范性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绩效管理  </w:t>
            </w:r>
          </w:p>
        </w:tc>
        <w:tc>
          <w:tcPr>
            <w:tcW w:w="1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绩效目标编制完成率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绩效监控完成率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绩效自评完成率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部门绩效评价完成率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评价结果应用率</w:t>
            </w: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71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产出指标  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重点工作任务完成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履职目标实现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效益指标  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履职效益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71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</w:t>
            </w:r>
          </w:p>
        </w:tc>
        <w:tc>
          <w:tcPr>
            <w:tcW w:w="1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宋体" w:hAnsi="宋体" w:cs="宋体"/>
          <w:sz w:val="28"/>
          <w:szCs w:val="28"/>
          <w:lang w:eastAsia="zh-CN"/>
        </w:rPr>
        <w:sectPr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4"/>
        <w:gridCol w:w="1225"/>
        <w:gridCol w:w="646"/>
        <w:gridCol w:w="646"/>
        <w:gridCol w:w="646"/>
        <w:gridCol w:w="658"/>
        <w:gridCol w:w="1236"/>
        <w:gridCol w:w="646"/>
        <w:gridCol w:w="1307"/>
        <w:gridCol w:w="649"/>
        <w:gridCol w:w="1244"/>
        <w:gridCol w:w="1335"/>
        <w:gridCol w:w="1244"/>
        <w:gridCol w:w="134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预算12表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38"/>
                <w:szCs w:val="38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8"/>
                <w:szCs w:val="38"/>
                <w:u w:val="none"/>
                <w:lang w:val="en-US" w:eastAsia="zh-CN" w:bidi="ar"/>
              </w:rPr>
              <w:t>2024年部门预算项目绩效目标汇总表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部门名称：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周口市川汇区金海社区卫生服务中心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7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单位编码（项目编码）</w:t>
            </w:r>
          </w:p>
        </w:tc>
        <w:tc>
          <w:tcPr>
            <w:tcW w:w="43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项目单位 （项目名称）</w:t>
            </w:r>
          </w:p>
        </w:tc>
        <w:tc>
          <w:tcPr>
            <w:tcW w:w="916" w:type="pct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项目金额（万元）</w:t>
            </w:r>
          </w:p>
        </w:tc>
        <w:tc>
          <w:tcPr>
            <w:tcW w:w="3177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绩效目标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47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16" w:type="pct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成本指标  </w:t>
            </w:r>
          </w:p>
        </w:tc>
        <w:tc>
          <w:tcPr>
            <w:tcW w:w="69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产出指标  </w:t>
            </w:r>
          </w:p>
        </w:tc>
        <w:tc>
          <w:tcPr>
            <w:tcW w:w="91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效益指标  </w:t>
            </w:r>
          </w:p>
        </w:tc>
        <w:tc>
          <w:tcPr>
            <w:tcW w:w="91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满意度指标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47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资金总额</w:t>
            </w: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政府预算资金</w:t>
            </w: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财政专户管理资金</w:t>
            </w:r>
          </w:p>
        </w:tc>
        <w:tc>
          <w:tcPr>
            <w:tcW w:w="2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单位资金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4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rPr>
          <w:rFonts w:hint="eastAsia" w:ascii="宋体" w:hAnsi="宋体" w:cs="宋体"/>
          <w:sz w:val="28"/>
          <w:szCs w:val="28"/>
          <w:lang w:eastAsia="zh-CN"/>
        </w:rPr>
      </w:pPr>
    </w:p>
    <w:bookmarkEnd w:id="0"/>
    <w:sectPr>
      <w:pgSz w:w="16838" w:h="11906" w:orient="landscape"/>
      <w:pgMar w:top="1800" w:right="1440" w:bottom="1800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hint="eastAsia" w:eastAsia="宋体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09604C"/>
    <w:multiLevelType w:val="singleLevel"/>
    <w:tmpl w:val="1409604C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4B0E60A2"/>
    <w:multiLevelType w:val="singleLevel"/>
    <w:tmpl w:val="4B0E60A2"/>
    <w:lvl w:ilvl="0" w:tentative="0">
      <w:start w:val="2"/>
      <w:numFmt w:val="chineseCounting"/>
      <w:suff w:val="space"/>
      <w:lvlText w:val="第%1部分"/>
      <w:lvlJc w:val="left"/>
      <w:rPr>
        <w:rFonts w:hint="eastAsia"/>
      </w:rPr>
    </w:lvl>
  </w:abstractNum>
  <w:abstractNum w:abstractNumId="2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  <w:pPr>
        <w:ind w:left="-1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lmNGIwMzI5NWY5YzNmNjZkYTBhNWY3YjAzZTQyY2YifQ=="/>
  </w:docVars>
  <w:rsids>
    <w:rsidRoot w:val="09041174"/>
    <w:rsid w:val="018A0320"/>
    <w:rsid w:val="02F6543C"/>
    <w:rsid w:val="09041174"/>
    <w:rsid w:val="0DD02380"/>
    <w:rsid w:val="11DF1AAF"/>
    <w:rsid w:val="12296BA5"/>
    <w:rsid w:val="1C4A11B8"/>
    <w:rsid w:val="1C5B24D9"/>
    <w:rsid w:val="2E21640D"/>
    <w:rsid w:val="3551243C"/>
    <w:rsid w:val="406304E4"/>
    <w:rsid w:val="43C875B2"/>
    <w:rsid w:val="44D80A01"/>
    <w:rsid w:val="4C5B3BD5"/>
    <w:rsid w:val="51F00803"/>
    <w:rsid w:val="63537319"/>
    <w:rsid w:val="6CDD179B"/>
    <w:rsid w:val="765A338F"/>
    <w:rsid w:val="7DC52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Lines="0" w:beforeAutospacing="0" w:after="140" w:afterLines="0" w:afterAutospacing="0" w:line="360" w:lineRule="auto"/>
      <w:ind w:firstLine="0" w:firstLineChars="0"/>
      <w:jc w:val="center"/>
      <w:outlineLvl w:val="1"/>
    </w:pPr>
    <w:rPr>
      <w:rFonts w:ascii="Arial" w:hAnsi="Arial" w:eastAsia="黑体"/>
      <w:b/>
      <w:sz w:val="36"/>
    </w:rPr>
  </w:style>
  <w:style w:type="paragraph" w:styleId="4">
    <w:name w:val="heading 3"/>
    <w:basedOn w:val="1"/>
    <w:next w:val="1"/>
    <w:autoRedefine/>
    <w:qFormat/>
    <w:uiPriority w:val="0"/>
    <w:pPr>
      <w:keepNext/>
      <w:keepLines/>
      <w:spacing w:beforeLines="0" w:beforeAutospacing="0" w:afterLines="0" w:afterAutospacing="0" w:line="360" w:lineRule="auto"/>
      <w:ind w:firstLine="482" w:firstLineChars="200"/>
      <w:jc w:val="left"/>
      <w:outlineLvl w:val="2"/>
    </w:pPr>
    <w:rPr>
      <w:rFonts w:ascii="Times New Roman" w:hAnsi="Times New Roman"/>
      <w:b/>
      <w:kern w:val="0"/>
      <w:szCs w:val="2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Lines="0" w:beforeAutospacing="0" w:afterLines="0" w:afterAutospacing="0" w:line="360" w:lineRule="auto"/>
      <w:jc w:val="left"/>
      <w:outlineLvl w:val="3"/>
    </w:pPr>
    <w:rPr>
      <w:rFonts w:ascii="Arial" w:hAnsi="Arial" w:eastAsia="楷体"/>
      <w:b/>
      <w:kern w:val="0"/>
      <w:sz w:val="32"/>
      <w:szCs w:val="20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5472</Words>
  <Characters>6489</Characters>
  <Lines>0</Lines>
  <Paragraphs>0</Paragraphs>
  <TotalTime>1</TotalTime>
  <ScaleCrop>false</ScaleCrop>
  <LinksUpToDate>false</LinksUpToDate>
  <CharactersWithSpaces>6628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2022-06-23T01:05:00Z</dcterms:created>
  <dc:creator>Yolo.</dc:creator>
  <cp:lastModifiedBy>lenvo</cp:lastModifiedBy>
  <dcterms:modified xsi:type="dcterms:W3CDTF">2024-03-20T09:03:39Z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B23239295C664B04928DECC6AAD01BB3_13</vt:lpwstr>
  </property>
</Properties>
</file>